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AC" w:rsidRPr="002244DA" w:rsidRDefault="000300ED" w:rsidP="00E152AC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Cell </w:t>
      </w:r>
      <w:proofErr w:type="spellStart"/>
      <w:r>
        <w:rPr>
          <w:rFonts w:ascii="Candara" w:hAnsi="Candara"/>
          <w:sz w:val="32"/>
          <w:szCs w:val="32"/>
        </w:rPr>
        <w:t>Energetics</w:t>
      </w:r>
      <w:proofErr w:type="spellEnd"/>
      <w:r>
        <w:rPr>
          <w:rFonts w:ascii="Candara" w:hAnsi="Candara"/>
          <w:sz w:val="32"/>
          <w:szCs w:val="32"/>
        </w:rPr>
        <w:t xml:space="preserve"> Unit</w:t>
      </w:r>
      <w:r w:rsidR="00E152AC">
        <w:rPr>
          <w:rFonts w:ascii="Candara" w:hAnsi="Candara"/>
          <w:sz w:val="32"/>
          <w:szCs w:val="32"/>
        </w:rPr>
        <w:t xml:space="preserve"> Reading Guide (</w:t>
      </w:r>
      <w:r w:rsidR="00AE1162" w:rsidRPr="009966F1">
        <w:rPr>
          <w:rFonts w:ascii="Candara" w:hAnsi="Candara"/>
          <w:sz w:val="32"/>
          <w:szCs w:val="32"/>
        </w:rPr>
        <w:t>LIFE 9</w:t>
      </w:r>
      <w:r w:rsidR="00AE1162" w:rsidRPr="009966F1">
        <w:rPr>
          <w:rFonts w:ascii="Candara" w:hAnsi="Candara"/>
          <w:sz w:val="32"/>
          <w:szCs w:val="32"/>
          <w:vertAlign w:val="superscript"/>
        </w:rPr>
        <w:t>TH</w:t>
      </w:r>
      <w:r w:rsidR="00E152AC">
        <w:rPr>
          <w:rFonts w:ascii="Candara" w:hAnsi="Candara"/>
          <w:sz w:val="32"/>
          <w:szCs w:val="32"/>
        </w:rPr>
        <w:t xml:space="preserve"> Edition)</w:t>
      </w:r>
    </w:p>
    <w:tbl>
      <w:tblPr>
        <w:tblW w:w="12391" w:type="dxa"/>
        <w:tblLook w:val="04A0"/>
      </w:tblPr>
      <w:tblGrid>
        <w:gridCol w:w="335"/>
        <w:gridCol w:w="450"/>
        <w:gridCol w:w="6973"/>
        <w:gridCol w:w="2070"/>
        <w:gridCol w:w="2563"/>
      </w:tblGrid>
      <w:tr w:rsidR="00AE1162" w:rsidTr="000300ED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jc w:val="right"/>
              <w:rPr>
                <w:rFonts w:ascii="Candara" w:hAnsi="Candara"/>
                <w:b/>
                <w:bCs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</w:tr>
      <w:tr w:rsidR="00AE1162" w:rsidTr="000300ED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  <w:tc>
          <w:tcPr>
            <w:tcW w:w="7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NOTES</w:t>
            </w:r>
          </w:p>
        </w:tc>
      </w:tr>
      <w:tr w:rsidR="00AE1162" w:rsidTr="000300ED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8B0DB5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9.1 How does glucose oxidation release chemical energy</w:t>
            </w:r>
            <w:r w:rsidR="004D11E1">
              <w:rPr>
                <w:rFonts w:ascii="Candara" w:hAnsi="Candara"/>
                <w:sz w:val="22"/>
                <w:szCs w:val="22"/>
              </w:rPr>
              <w:t>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8B0DB5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168-172</w:t>
            </w:r>
            <w:r w:rsidR="000300ED">
              <w:rPr>
                <w:rFonts w:ascii="Candara" w:hAnsi="Candara"/>
                <w:sz w:val="22"/>
                <w:szCs w:val="22"/>
              </w:rPr>
              <w:t xml:space="preserve">  (4 pages)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0300ED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AP Lab</w:t>
            </w:r>
            <w:r w:rsidR="008B0DB5">
              <w:rPr>
                <w:rFonts w:ascii="Candara" w:hAnsi="Candara"/>
                <w:sz w:val="22"/>
                <w:szCs w:val="22"/>
              </w:rPr>
              <w:t>: Cell Respiration</w:t>
            </w:r>
          </w:p>
        </w:tc>
      </w:tr>
      <w:tr w:rsidR="00AE1162" w:rsidTr="000300ED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8B0DB5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9.2 What are the aerobic pathways of glucose metabolism</w:t>
            </w:r>
            <w:r w:rsidR="004D11E1">
              <w:rPr>
                <w:rFonts w:ascii="Candara" w:hAnsi="Candara"/>
                <w:sz w:val="22"/>
                <w:szCs w:val="22"/>
              </w:rPr>
              <w:t>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8B0DB5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172-177</w:t>
            </w:r>
            <w:r w:rsidR="000300ED">
              <w:rPr>
                <w:rFonts w:ascii="Candara" w:hAnsi="Candara"/>
                <w:sz w:val="22"/>
                <w:szCs w:val="22"/>
              </w:rPr>
              <w:t xml:space="preserve">  (5)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</w:tr>
      <w:tr w:rsidR="00AE1162" w:rsidTr="000300ED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8B0DB5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9.3 How does oxidative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phosphorylation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form ATP</w:t>
            </w:r>
            <w:r w:rsidR="004D11E1">
              <w:rPr>
                <w:rFonts w:ascii="Candara" w:hAnsi="Candara"/>
                <w:sz w:val="22"/>
                <w:szCs w:val="22"/>
              </w:rPr>
              <w:t>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8B0DB5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177-181</w:t>
            </w:r>
            <w:r w:rsidR="000300ED">
              <w:rPr>
                <w:rFonts w:ascii="Candara" w:hAnsi="Candara"/>
                <w:sz w:val="22"/>
                <w:szCs w:val="22"/>
              </w:rPr>
              <w:t xml:space="preserve">  (5)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</w:tr>
      <w:tr w:rsidR="00AE1162" w:rsidTr="000300ED">
        <w:trPr>
          <w:trHeight w:val="2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8B0DB5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9.4 How is energy harvested in the absence of oxygen</w:t>
            </w:r>
            <w:r w:rsidR="004D11E1">
              <w:rPr>
                <w:rFonts w:ascii="Candara" w:hAnsi="Candara"/>
                <w:sz w:val="22"/>
                <w:szCs w:val="22"/>
              </w:rPr>
              <w:t>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8B0DB5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181-184</w:t>
            </w:r>
            <w:r w:rsidR="000300ED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0300ED" w:rsidTr="000300ED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ED" w:rsidRDefault="000300ED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ED" w:rsidRDefault="000300ED" w:rsidP="00243E04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ED" w:rsidRDefault="000300ED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8.1 What physical principles underlie biological energy transformations?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0ED" w:rsidRDefault="000300ED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149-153  (5)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0ED" w:rsidRDefault="000300ED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300ED" w:rsidTr="000300ED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ED" w:rsidRDefault="000300ED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ED" w:rsidRDefault="000300ED" w:rsidP="00243E04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ED" w:rsidRDefault="000300ED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8.2 What is the role of ATP in biochemical energetic?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0ED" w:rsidRDefault="000300ED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153-155  (3)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0ED" w:rsidRDefault="000300ED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:rsidTr="000300ED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243E04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AC" w:rsidRDefault="00A95EFE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47.1 How is the mammalian nervous system</w:t>
            </w:r>
            <w:bookmarkStart w:id="0" w:name="_GoBack"/>
            <w:bookmarkEnd w:id="0"/>
            <w:r>
              <w:rPr>
                <w:rFonts w:ascii="Candara" w:hAnsi="Candara"/>
                <w:sz w:val="22"/>
                <w:szCs w:val="22"/>
              </w:rPr>
              <w:t xml:space="preserve"> organized?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95EFE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986-992</w:t>
            </w:r>
            <w:r w:rsidR="000300ED">
              <w:rPr>
                <w:rFonts w:ascii="Candara" w:hAnsi="Candara"/>
                <w:sz w:val="22"/>
                <w:szCs w:val="22"/>
              </w:rPr>
              <w:t xml:space="preserve">  (7)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162" w:rsidRDefault="00AE1162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  <w:r w:rsidR="005410E9">
              <w:rPr>
                <w:rFonts w:ascii="Candara" w:hAnsi="Candara"/>
                <w:sz w:val="22"/>
                <w:szCs w:val="22"/>
              </w:rPr>
              <w:t>Lab: Anatomy of the human brain</w:t>
            </w:r>
          </w:p>
        </w:tc>
      </w:tr>
      <w:tr w:rsidR="00A95EFE" w:rsidTr="000300ED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EFE" w:rsidRDefault="00A95EFE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FE" w:rsidRDefault="00A95EFE" w:rsidP="00243E04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EFE" w:rsidRDefault="00A95EFE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Subsections on language and memory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5EFE" w:rsidRDefault="00A95EFE" w:rsidP="004D11E1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1000-1003</w:t>
            </w:r>
            <w:r w:rsidR="000300ED">
              <w:rPr>
                <w:rFonts w:ascii="Candara" w:hAnsi="Candara"/>
                <w:sz w:val="22"/>
                <w:szCs w:val="22"/>
              </w:rPr>
              <w:t xml:space="preserve">  (3)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5EFE" w:rsidRDefault="00A95EFE" w:rsidP="004D11E1">
            <w:pPr>
              <w:rPr>
                <w:rFonts w:ascii="Candara" w:hAnsi="Candara"/>
              </w:rPr>
            </w:pPr>
          </w:p>
        </w:tc>
      </w:tr>
      <w:tr w:rsidR="00362958" w:rsidTr="000300ED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58" w:rsidRDefault="00362958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58" w:rsidRDefault="00362958" w:rsidP="004D11E1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58" w:rsidRDefault="00362958" w:rsidP="004D11E1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58" w:rsidRDefault="00362958" w:rsidP="004D11E1">
            <w:pPr>
              <w:rPr>
                <w:rFonts w:ascii="Candara" w:hAnsi="Candar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58" w:rsidRDefault="00362958" w:rsidP="004D11E1">
            <w:pPr>
              <w:rPr>
                <w:rFonts w:ascii="Candara" w:hAnsi="Candara"/>
              </w:rPr>
            </w:pPr>
          </w:p>
        </w:tc>
      </w:tr>
      <w:tr w:rsidR="00362958" w:rsidTr="00F72BBE">
        <w:trPr>
          <w:trHeight w:val="8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58" w:rsidRDefault="00362958" w:rsidP="004D11E1">
            <w:pPr>
              <w:rPr>
                <w:rFonts w:ascii="Candara" w:hAnsi="Candara"/>
              </w:rPr>
            </w:pPr>
          </w:p>
          <w:p w:rsidR="000300ED" w:rsidRDefault="000300ED" w:rsidP="004D11E1">
            <w:pPr>
              <w:rPr>
                <w:rFonts w:ascii="Candara" w:hAnsi="Candar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58" w:rsidRDefault="00362958" w:rsidP="004D11E1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58" w:rsidRDefault="00362958" w:rsidP="004D11E1">
            <w:pPr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58" w:rsidRDefault="00362958" w:rsidP="004D11E1">
            <w:pPr>
              <w:rPr>
                <w:rFonts w:ascii="Candara" w:hAnsi="Candara"/>
              </w:rPr>
            </w:pPr>
          </w:p>
        </w:tc>
        <w:tc>
          <w:tcPr>
            <w:tcW w:w="2563" w:type="dxa"/>
            <w:noWrap/>
          </w:tcPr>
          <w:p w:rsidR="00362958" w:rsidRDefault="00362958" w:rsidP="004D11E1">
            <w:pPr>
              <w:rPr>
                <w:rFonts w:ascii="Candara" w:hAnsi="Candara"/>
              </w:rPr>
            </w:pPr>
          </w:p>
        </w:tc>
      </w:tr>
    </w:tbl>
    <w:p w:rsidR="00E152AC" w:rsidRPr="00E152AC" w:rsidRDefault="00E152AC">
      <w:pPr>
        <w:rPr>
          <w:sz w:val="28"/>
          <w:szCs w:val="28"/>
        </w:rPr>
      </w:pPr>
    </w:p>
    <w:p w:rsidR="000300ED" w:rsidRDefault="000300ED" w:rsidP="000300ED">
      <w:pPr>
        <w:pStyle w:val="NoSpacing"/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b/>
          <w:i/>
          <w:sz w:val="22"/>
        </w:rPr>
        <w:t xml:space="preserve">X Specific steps, names of enzymes and intermediates of the </w:t>
      </w:r>
      <w:proofErr w:type="spellStart"/>
      <w:r>
        <w:rPr>
          <w:rFonts w:asciiTheme="majorHAnsi" w:hAnsiTheme="majorHAnsi"/>
          <w:b/>
          <w:i/>
          <w:sz w:val="22"/>
        </w:rPr>
        <w:t>glycolysis</w:t>
      </w:r>
      <w:proofErr w:type="spellEnd"/>
      <w:r>
        <w:rPr>
          <w:rFonts w:asciiTheme="majorHAnsi" w:hAnsiTheme="majorHAnsi"/>
          <w:b/>
          <w:i/>
          <w:sz w:val="22"/>
        </w:rPr>
        <w:t xml:space="preserve"> and fermentation pathways are beyond the scope of the course and the AP Exam.</w:t>
      </w:r>
    </w:p>
    <w:p w:rsidR="00E152AC" w:rsidRDefault="00E152AC">
      <w:pPr>
        <w:rPr>
          <w:sz w:val="28"/>
          <w:szCs w:val="28"/>
        </w:rPr>
      </w:pPr>
    </w:p>
    <w:p w:rsidR="000300ED" w:rsidRDefault="000300ED" w:rsidP="000300ED">
      <w:pPr>
        <w:pStyle w:val="NoSpacing"/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b/>
          <w:i/>
          <w:sz w:val="22"/>
        </w:rPr>
        <w:t xml:space="preserve">X Memorization of the steps in </w:t>
      </w:r>
      <w:proofErr w:type="spellStart"/>
      <w:r>
        <w:rPr>
          <w:rFonts w:asciiTheme="majorHAnsi" w:hAnsiTheme="majorHAnsi"/>
          <w:b/>
          <w:i/>
          <w:sz w:val="22"/>
        </w:rPr>
        <w:t>glycolysis</w:t>
      </w:r>
      <w:proofErr w:type="spellEnd"/>
      <w:r>
        <w:rPr>
          <w:rFonts w:asciiTheme="majorHAnsi" w:hAnsiTheme="majorHAnsi"/>
          <w:b/>
          <w:i/>
          <w:sz w:val="22"/>
        </w:rPr>
        <w:t xml:space="preserve"> and the Krebs cycle, or of the structures of the molecules and the names of the enzymes involved, are beyond the scope of the course and the AP Exam.</w:t>
      </w:r>
    </w:p>
    <w:p w:rsidR="000300ED" w:rsidRDefault="000300ED">
      <w:pPr>
        <w:rPr>
          <w:sz w:val="28"/>
          <w:szCs w:val="28"/>
        </w:rPr>
      </w:pPr>
    </w:p>
    <w:p w:rsidR="000300ED" w:rsidRDefault="000300ED" w:rsidP="000300ED">
      <w:pPr>
        <w:pStyle w:val="NoSpacing"/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b/>
          <w:i/>
          <w:sz w:val="22"/>
        </w:rPr>
        <w:t xml:space="preserve">X </w:t>
      </w:r>
      <w:proofErr w:type="gramStart"/>
      <w:r>
        <w:rPr>
          <w:rFonts w:asciiTheme="majorHAnsi" w:hAnsiTheme="majorHAnsi"/>
          <w:b/>
          <w:i/>
          <w:sz w:val="22"/>
        </w:rPr>
        <w:t>The</w:t>
      </w:r>
      <w:proofErr w:type="gramEnd"/>
      <w:r>
        <w:rPr>
          <w:rFonts w:asciiTheme="majorHAnsi" w:hAnsiTheme="majorHAnsi"/>
          <w:b/>
          <w:i/>
          <w:sz w:val="22"/>
        </w:rPr>
        <w:t xml:space="preserve"> names of the specific electron carriers in the ETC are beyond the scope of the course and the AP Exam.</w:t>
      </w:r>
    </w:p>
    <w:p w:rsidR="000300ED" w:rsidRDefault="000300ED">
      <w:pPr>
        <w:rPr>
          <w:sz w:val="28"/>
          <w:szCs w:val="28"/>
        </w:rPr>
      </w:pPr>
    </w:p>
    <w:p w:rsidR="000300ED" w:rsidRDefault="000300ED">
      <w:pPr>
        <w:rPr>
          <w:sz w:val="28"/>
          <w:szCs w:val="28"/>
        </w:rPr>
      </w:pPr>
    </w:p>
    <w:p w:rsidR="000300ED" w:rsidRPr="00E152AC" w:rsidRDefault="00F72BBE" w:rsidP="000300ED">
      <w:pPr>
        <w:rPr>
          <w:sz w:val="28"/>
          <w:szCs w:val="28"/>
        </w:rPr>
      </w:pPr>
      <w:r>
        <w:rPr>
          <w:sz w:val="28"/>
          <w:szCs w:val="28"/>
        </w:rPr>
        <w:t xml:space="preserve">Cell </w:t>
      </w:r>
      <w:proofErr w:type="spellStart"/>
      <w:r>
        <w:rPr>
          <w:sz w:val="28"/>
          <w:szCs w:val="28"/>
        </w:rPr>
        <w:t>Energetics</w:t>
      </w:r>
      <w:proofErr w:type="spellEnd"/>
      <w:r w:rsidR="000300ED">
        <w:rPr>
          <w:sz w:val="28"/>
          <w:szCs w:val="28"/>
        </w:rPr>
        <w:t xml:space="preserve"> Unit </w:t>
      </w:r>
      <w:r w:rsidR="000300ED" w:rsidRPr="00E152AC">
        <w:rPr>
          <w:sz w:val="28"/>
          <w:szCs w:val="28"/>
        </w:rPr>
        <w:t>Tes</w:t>
      </w:r>
      <w:r>
        <w:rPr>
          <w:sz w:val="28"/>
          <w:szCs w:val="28"/>
        </w:rPr>
        <w:t>t Target Date = Thursday 2/20/</w:t>
      </w:r>
      <w:proofErr w:type="gramStart"/>
      <w:r>
        <w:rPr>
          <w:sz w:val="28"/>
          <w:szCs w:val="28"/>
        </w:rPr>
        <w:t>14</w:t>
      </w:r>
      <w:r w:rsidR="000300ED">
        <w:rPr>
          <w:sz w:val="28"/>
          <w:szCs w:val="28"/>
        </w:rPr>
        <w:t xml:space="preserve">  (</w:t>
      </w:r>
      <w:proofErr w:type="gramEnd"/>
      <w:r w:rsidR="000300ED">
        <w:rPr>
          <w:sz w:val="28"/>
          <w:szCs w:val="28"/>
        </w:rPr>
        <w:t>1.5</w:t>
      </w:r>
      <w:r w:rsidR="000300ED" w:rsidRPr="00E152AC">
        <w:rPr>
          <w:sz w:val="28"/>
          <w:szCs w:val="28"/>
        </w:rPr>
        <w:t xml:space="preserve"> week unit)</w:t>
      </w:r>
    </w:p>
    <w:p w:rsidR="000300ED" w:rsidRPr="00E152AC" w:rsidRDefault="000300ED">
      <w:pPr>
        <w:rPr>
          <w:sz w:val="28"/>
          <w:szCs w:val="28"/>
        </w:rPr>
      </w:pPr>
    </w:p>
    <w:sectPr w:rsidR="000300ED" w:rsidRPr="00E152AC" w:rsidSect="00E152AC">
      <w:pgSz w:w="15840" w:h="12240" w:orient="landscape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162"/>
    <w:rsid w:val="000300ED"/>
    <w:rsid w:val="00243E04"/>
    <w:rsid w:val="00362958"/>
    <w:rsid w:val="00387E88"/>
    <w:rsid w:val="003B49EB"/>
    <w:rsid w:val="004D11E1"/>
    <w:rsid w:val="004E0814"/>
    <w:rsid w:val="005410E9"/>
    <w:rsid w:val="00613C82"/>
    <w:rsid w:val="007E120A"/>
    <w:rsid w:val="008B0DB5"/>
    <w:rsid w:val="009C31EE"/>
    <w:rsid w:val="00A95EFE"/>
    <w:rsid w:val="00AE1162"/>
    <w:rsid w:val="00B17AF0"/>
    <w:rsid w:val="00D11A20"/>
    <w:rsid w:val="00E152AC"/>
    <w:rsid w:val="00EA7CC7"/>
    <w:rsid w:val="00EF7257"/>
    <w:rsid w:val="00F7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00ED"/>
    <w:pPr>
      <w:ind w:left="360" w:hanging="360"/>
    </w:pPr>
    <w:rPr>
      <w:rFonts w:asciiTheme="minorHAnsi" w:eastAsiaTheme="minorEastAsia" w:hAnsiTheme="minorHAnsi" w:cstheme="minorBidi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Kelly</cp:lastModifiedBy>
  <cp:revision>5</cp:revision>
  <dcterms:created xsi:type="dcterms:W3CDTF">2012-02-13T13:08:00Z</dcterms:created>
  <dcterms:modified xsi:type="dcterms:W3CDTF">2014-02-07T03:39:00Z</dcterms:modified>
</cp:coreProperties>
</file>