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B" w:rsidRDefault="00F841AB" w:rsidP="00F841AB">
      <w:pPr>
        <w:jc w:val="center"/>
        <w:rPr>
          <w:sz w:val="18"/>
        </w:rPr>
      </w:pPr>
      <w:r>
        <w:t>Name_________________________Date___________Period_______</w:t>
      </w:r>
    </w:p>
    <w:p w:rsidR="00F841AB" w:rsidRDefault="00F841AB" w:rsidP="00F841AB">
      <w:pPr>
        <w:numPr>
          <w:ilvl w:val="0"/>
          <w:numId w:val="1"/>
        </w:numPr>
      </w:pPr>
      <w:r>
        <w:rPr>
          <w:bCs/>
          <w:i/>
        </w:rPr>
        <w:t xml:space="preserve"> </w:t>
      </w:r>
      <w:r>
        <w:rPr>
          <w:bCs/>
          <w:i/>
          <w:sz w:val="20"/>
        </w:rPr>
        <w:t>“Luther was both a revolutionary and a conservative.”</w:t>
      </w:r>
      <w:r>
        <w:rPr>
          <w:bCs/>
          <w:iCs/>
          <w:sz w:val="20"/>
        </w:rPr>
        <w:t xml:space="preserve">  </w:t>
      </w:r>
      <w:r>
        <w:rPr>
          <w:b/>
          <w:iCs/>
          <w:sz w:val="20"/>
        </w:rPr>
        <w:t xml:space="preserve">Evaluate </w:t>
      </w:r>
      <w:r>
        <w:rPr>
          <w:bCs/>
          <w:iCs/>
          <w:sz w:val="20"/>
        </w:rPr>
        <w:t>this statement with respect to Luther’s responses to the political and social questions of the day.</w:t>
      </w:r>
    </w:p>
    <w:p w:rsidR="00F841AB" w:rsidRDefault="00F841AB" w:rsidP="00F841AB"/>
    <w:p w:rsidR="00F841AB" w:rsidRDefault="00F841AB" w:rsidP="00F841AB"/>
    <w:p w:rsidR="00F841AB" w:rsidRDefault="00F841AB" w:rsidP="00F841AB"/>
    <w:p w:rsidR="00F841AB" w:rsidRDefault="00F841AB" w:rsidP="00F841AB">
      <w:pPr>
        <w:pStyle w:val="BodyTextIndent"/>
        <w:numPr>
          <w:ilvl w:val="0"/>
          <w:numId w:val="1"/>
        </w:numPr>
        <w:rPr>
          <w:bCs/>
          <w:sz w:val="20"/>
        </w:rPr>
      </w:pPr>
      <w:r>
        <w:rPr>
          <w:b/>
          <w:i/>
          <w:sz w:val="20"/>
        </w:rPr>
        <w:t>Describe and analyze</w:t>
      </w:r>
      <w:r>
        <w:rPr>
          <w:bCs/>
          <w:i/>
          <w:sz w:val="20"/>
        </w:rPr>
        <w:t xml:space="preserve"> </w:t>
      </w:r>
      <w:r>
        <w:rPr>
          <w:bCs/>
          <w:iCs/>
          <w:sz w:val="20"/>
        </w:rPr>
        <w:t>the ways in which the development of printing altered both the culture and the religion of Europe during the period 1450 – 1600.</w:t>
      </w:r>
    </w:p>
    <w:p w:rsidR="00F841AB" w:rsidRDefault="00F841AB" w:rsidP="00F841AB">
      <w:pPr>
        <w:pStyle w:val="BodyTextIndent"/>
        <w:ind w:left="0"/>
        <w:rPr>
          <w:b/>
          <w:i/>
          <w:sz w:val="20"/>
        </w:rPr>
      </w:pPr>
    </w:p>
    <w:p w:rsidR="00F841AB" w:rsidRDefault="00F841AB" w:rsidP="00F841AB">
      <w:pPr>
        <w:pStyle w:val="BodyTextIndent"/>
        <w:ind w:left="0"/>
        <w:rPr>
          <w:b/>
          <w:i/>
          <w:sz w:val="20"/>
        </w:rPr>
      </w:pPr>
    </w:p>
    <w:p w:rsidR="00F841AB" w:rsidRDefault="00F841AB" w:rsidP="00F841AB">
      <w:pPr>
        <w:pStyle w:val="BodyTextIndent"/>
        <w:ind w:left="0"/>
        <w:rPr>
          <w:b/>
          <w:i/>
          <w:sz w:val="20"/>
        </w:rPr>
      </w:pPr>
    </w:p>
    <w:p w:rsidR="00F841AB" w:rsidRDefault="00F841AB" w:rsidP="00F841AB">
      <w:pPr>
        <w:pStyle w:val="BodyTextIndent"/>
        <w:ind w:left="0"/>
        <w:rPr>
          <w:bCs/>
          <w:sz w:val="20"/>
        </w:rPr>
      </w:pPr>
    </w:p>
    <w:p w:rsidR="00F841AB" w:rsidRDefault="00F841AB" w:rsidP="00F841AB">
      <w:pPr>
        <w:pStyle w:val="BodyTextIndent"/>
        <w:numPr>
          <w:ilvl w:val="0"/>
          <w:numId w:val="1"/>
        </w:numPr>
        <w:rPr>
          <w:bCs/>
          <w:sz w:val="20"/>
        </w:rPr>
      </w:pPr>
      <w:r>
        <w:rPr>
          <w:b/>
          <w:i/>
          <w:iCs/>
          <w:sz w:val="20"/>
        </w:rPr>
        <w:t>Compare and contrast</w:t>
      </w:r>
      <w:r>
        <w:rPr>
          <w:bCs/>
          <w:sz w:val="20"/>
        </w:rPr>
        <w:t xml:space="preserve"> the attitudes of Martin Luther and John Calvin toward political authority and social order.</w:t>
      </w:r>
    </w:p>
    <w:p w:rsidR="00F841AB" w:rsidRDefault="00F841AB" w:rsidP="00F841AB">
      <w:pPr>
        <w:pStyle w:val="BodyTextIndent"/>
        <w:rPr>
          <w:bCs/>
          <w:sz w:val="20"/>
        </w:rPr>
      </w:pPr>
    </w:p>
    <w:p w:rsidR="00F841AB" w:rsidRDefault="00F841AB" w:rsidP="00F841AB">
      <w:pPr>
        <w:pStyle w:val="BodyTextIndent"/>
        <w:rPr>
          <w:bCs/>
          <w:sz w:val="20"/>
        </w:rPr>
      </w:pPr>
    </w:p>
    <w:p w:rsidR="00F841AB" w:rsidRDefault="00F841AB" w:rsidP="00F841AB">
      <w:pPr>
        <w:pStyle w:val="BodyTextIndent"/>
        <w:rPr>
          <w:bCs/>
          <w:sz w:val="20"/>
        </w:rPr>
      </w:pPr>
    </w:p>
    <w:p w:rsidR="00F841AB" w:rsidRDefault="00F841AB" w:rsidP="00F841AB">
      <w:pPr>
        <w:pStyle w:val="BodyTextIndent"/>
        <w:numPr>
          <w:ilvl w:val="0"/>
          <w:numId w:val="1"/>
        </w:numPr>
        <w:rPr>
          <w:bCs/>
          <w:sz w:val="20"/>
        </w:rPr>
      </w:pPr>
      <w:r>
        <w:rPr>
          <w:b/>
          <w:i/>
          <w:iCs/>
          <w:sz w:val="20"/>
        </w:rPr>
        <w:t xml:space="preserve">Describe and analyze </w:t>
      </w:r>
      <w:r>
        <w:rPr>
          <w:bCs/>
          <w:sz w:val="20"/>
        </w:rPr>
        <w:t>the ways in which the 16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century Roman Catholics responded to the challenges posed by the Protestant Reformation?</w:t>
      </w:r>
    </w:p>
    <w:p w:rsidR="00F841AB" w:rsidRDefault="00F841AB" w:rsidP="00F841AB">
      <w:pPr>
        <w:pStyle w:val="BodyTextIndent"/>
        <w:rPr>
          <w:bCs/>
          <w:sz w:val="20"/>
        </w:rPr>
      </w:pPr>
    </w:p>
    <w:p w:rsidR="00F841AB" w:rsidRDefault="00F841AB" w:rsidP="00F841AB">
      <w:pPr>
        <w:pStyle w:val="BodyTextIndent"/>
        <w:ind w:left="0"/>
        <w:rPr>
          <w:bCs/>
          <w:sz w:val="20"/>
        </w:rPr>
      </w:pPr>
    </w:p>
    <w:p w:rsidR="00F841AB" w:rsidRDefault="00F841AB" w:rsidP="00F841AB">
      <w:pPr>
        <w:pStyle w:val="BodyTextIndent"/>
        <w:rPr>
          <w:bCs/>
          <w:sz w:val="20"/>
        </w:rPr>
      </w:pPr>
    </w:p>
    <w:p w:rsidR="00F841AB" w:rsidRDefault="00F841AB" w:rsidP="00F841AB">
      <w:pPr>
        <w:pStyle w:val="BodyTextIndent"/>
        <w:numPr>
          <w:ilvl w:val="0"/>
          <w:numId w:val="1"/>
        </w:numPr>
        <w:rPr>
          <w:b/>
          <w:i/>
          <w:iCs/>
          <w:sz w:val="20"/>
        </w:rPr>
      </w:pPr>
      <w:r>
        <w:rPr>
          <w:b/>
          <w:i/>
          <w:iCs/>
          <w:sz w:val="20"/>
        </w:rPr>
        <w:t>Compare and contrast</w:t>
      </w:r>
      <w:r>
        <w:rPr>
          <w:bCs/>
          <w:sz w:val="20"/>
        </w:rPr>
        <w:t xml:space="preserve"> the cultural views of the 16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century Northern Renaissance with those of the Enlightenment.</w:t>
      </w:r>
      <w:r>
        <w:rPr>
          <w:b/>
          <w:i/>
          <w:iCs/>
          <w:sz w:val="20"/>
        </w:rPr>
        <w:t xml:space="preserve"> </w:t>
      </w:r>
    </w:p>
    <w:p w:rsidR="00F841AB" w:rsidRDefault="00F841AB" w:rsidP="00F841AB">
      <w:pPr>
        <w:pStyle w:val="BodyTextIndent"/>
        <w:rPr>
          <w:b/>
          <w:i/>
          <w:iCs/>
          <w:sz w:val="20"/>
        </w:rPr>
      </w:pPr>
    </w:p>
    <w:p w:rsidR="00F841AB" w:rsidRDefault="00F841AB" w:rsidP="00F841AB">
      <w:pPr>
        <w:pStyle w:val="BodyTextIndent"/>
        <w:rPr>
          <w:b/>
          <w:i/>
          <w:iCs/>
          <w:sz w:val="20"/>
        </w:rPr>
      </w:pPr>
    </w:p>
    <w:p w:rsidR="00F841AB" w:rsidRDefault="00F841AB" w:rsidP="00F841AB">
      <w:pPr>
        <w:pStyle w:val="BodyTextIndent"/>
        <w:rPr>
          <w:b/>
          <w:i/>
          <w:iCs/>
          <w:sz w:val="20"/>
        </w:rPr>
      </w:pPr>
    </w:p>
    <w:p w:rsidR="00F841AB" w:rsidRDefault="00F841AB" w:rsidP="00F841AB">
      <w:pPr>
        <w:pStyle w:val="BodyTextIndent"/>
        <w:numPr>
          <w:ilvl w:val="0"/>
          <w:numId w:val="1"/>
        </w:numPr>
        <w:rPr>
          <w:sz w:val="20"/>
        </w:rPr>
      </w:pPr>
      <w:r>
        <w:rPr>
          <w:b/>
          <w:i/>
          <w:iCs/>
          <w:sz w:val="20"/>
        </w:rPr>
        <w:t xml:space="preserve">Evaluate the relative importance </w:t>
      </w:r>
      <w:r>
        <w:rPr>
          <w:sz w:val="20"/>
        </w:rPr>
        <w:t>of the religious rivalries and dynastic ambitions that shaped the course of the 30 Years’ war.</w:t>
      </w:r>
    </w:p>
    <w:p w:rsidR="00F841AB" w:rsidRDefault="00F841AB" w:rsidP="00F841AB"/>
    <w:p w:rsidR="00F841AB" w:rsidRDefault="00F841AB" w:rsidP="00F841AB"/>
    <w:p w:rsidR="00F841AB" w:rsidRDefault="00F841AB" w:rsidP="00F841AB">
      <w:pPr>
        <w:pStyle w:val="BodyTextIndent"/>
        <w:numPr>
          <w:ilvl w:val="0"/>
          <w:numId w:val="1"/>
        </w:numPr>
        <w:rPr>
          <w:sz w:val="20"/>
        </w:rPr>
      </w:pPr>
      <w:r>
        <w:rPr>
          <w:i/>
          <w:iCs/>
          <w:sz w:val="20"/>
        </w:rPr>
        <w:t>“In 17</w:t>
      </w:r>
      <w:r>
        <w:rPr>
          <w:i/>
          <w:iCs/>
          <w:sz w:val="20"/>
          <w:vertAlign w:val="superscript"/>
        </w:rPr>
        <w:t>th</w:t>
      </w:r>
      <w:r>
        <w:rPr>
          <w:i/>
          <w:iCs/>
          <w:sz w:val="20"/>
        </w:rPr>
        <w:t xml:space="preserve"> century England the aristocracy lost its privilege but retained its power; in 17</w:t>
      </w:r>
      <w:r>
        <w:rPr>
          <w:i/>
          <w:iCs/>
          <w:sz w:val="20"/>
          <w:vertAlign w:val="superscript"/>
        </w:rPr>
        <w:t>th</w:t>
      </w:r>
      <w:r>
        <w:rPr>
          <w:i/>
          <w:iCs/>
          <w:sz w:val="20"/>
        </w:rPr>
        <w:t xml:space="preserve"> century France the aristocracy retained its privilege but lost its power.”</w:t>
      </w:r>
      <w:r>
        <w:rPr>
          <w:sz w:val="20"/>
        </w:rPr>
        <w:t xml:space="preserve">  </w:t>
      </w:r>
      <w:r>
        <w:rPr>
          <w:b/>
          <w:bCs/>
          <w:i/>
          <w:iCs/>
          <w:sz w:val="20"/>
        </w:rPr>
        <w:t>Assess the accuracy</w:t>
      </w:r>
      <w:r>
        <w:rPr>
          <w:sz w:val="20"/>
        </w:rPr>
        <w:t xml:space="preserve"> of this statement with respect to political events and social developments in the two countries during the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century.</w:t>
      </w:r>
    </w:p>
    <w:p w:rsidR="00F841AB" w:rsidRDefault="00F841AB" w:rsidP="00F841AB">
      <w:pPr>
        <w:pStyle w:val="BodyTextIndent"/>
        <w:rPr>
          <w:sz w:val="20"/>
        </w:rPr>
      </w:pPr>
    </w:p>
    <w:p w:rsidR="00F841AB" w:rsidRDefault="00F841AB" w:rsidP="00F841AB">
      <w:pPr>
        <w:pStyle w:val="BodyTextIndent"/>
        <w:rPr>
          <w:sz w:val="20"/>
        </w:rPr>
      </w:pPr>
    </w:p>
    <w:p w:rsidR="00F841AB" w:rsidRDefault="00F841AB" w:rsidP="00F841AB">
      <w:pPr>
        <w:pStyle w:val="BodyTextIndent"/>
        <w:ind w:left="0"/>
        <w:rPr>
          <w:sz w:val="20"/>
        </w:rPr>
      </w:pPr>
    </w:p>
    <w:p w:rsidR="00F841AB" w:rsidRDefault="00F841AB" w:rsidP="00F841AB">
      <w:pPr>
        <w:pStyle w:val="BodyTextIndent"/>
        <w:rPr>
          <w:sz w:val="20"/>
        </w:rPr>
      </w:pPr>
    </w:p>
    <w:p w:rsidR="00F841AB" w:rsidRDefault="00F841AB" w:rsidP="00F841AB">
      <w:pPr>
        <w:pStyle w:val="BodyTextIndent"/>
        <w:numPr>
          <w:ilvl w:val="0"/>
          <w:numId w:val="1"/>
        </w:numPr>
        <w:rPr>
          <w:sz w:val="20"/>
        </w:rPr>
      </w:pPr>
      <w:r>
        <w:rPr>
          <w:i/>
          <w:iCs/>
          <w:sz w:val="20"/>
        </w:rPr>
        <w:t xml:space="preserve">“Napoleon was a child of the Enlightenment.”  </w:t>
      </w:r>
      <w:r>
        <w:rPr>
          <w:b/>
          <w:bCs/>
          <w:i/>
          <w:iCs/>
          <w:sz w:val="20"/>
        </w:rPr>
        <w:t>Assess the validity</w:t>
      </w:r>
      <w:r>
        <w:rPr>
          <w:sz w:val="20"/>
        </w:rPr>
        <w:t xml:space="preserve"> of this statement using examples referring both to specific aspects of the Enlightenment and to Napoleon’s policies and attitudes.</w:t>
      </w:r>
    </w:p>
    <w:p w:rsidR="00F841AB" w:rsidRDefault="00F841AB" w:rsidP="00F841AB">
      <w:pPr>
        <w:pStyle w:val="BodyTextIndent"/>
        <w:rPr>
          <w:sz w:val="20"/>
        </w:rPr>
      </w:pPr>
    </w:p>
    <w:p w:rsidR="00F841AB" w:rsidRDefault="00F841AB" w:rsidP="00F841AB">
      <w:pPr>
        <w:pStyle w:val="BodyTextIndent"/>
        <w:rPr>
          <w:sz w:val="20"/>
        </w:rPr>
      </w:pPr>
    </w:p>
    <w:p w:rsidR="00F841AB" w:rsidRDefault="00F841AB" w:rsidP="00F841AB">
      <w:pPr>
        <w:pStyle w:val="BodyTextIndent"/>
        <w:ind w:left="360"/>
        <w:rPr>
          <w:sz w:val="20"/>
        </w:rPr>
      </w:pPr>
    </w:p>
    <w:p w:rsidR="00F841AB" w:rsidRDefault="00F841AB" w:rsidP="00F841AB">
      <w:pPr>
        <w:pStyle w:val="BodyTextIndent"/>
        <w:rPr>
          <w:sz w:val="20"/>
        </w:rPr>
      </w:pPr>
    </w:p>
    <w:p w:rsidR="00A7729D" w:rsidRDefault="00F841AB" w:rsidP="00F841AB">
      <w:pPr>
        <w:pStyle w:val="BodyTextIndent"/>
        <w:numPr>
          <w:ilvl w:val="0"/>
          <w:numId w:val="1"/>
        </w:numPr>
        <w:rPr>
          <w:sz w:val="20"/>
        </w:rPr>
      </w:pPr>
      <w:r>
        <w:rPr>
          <w:i/>
          <w:iCs/>
          <w:sz w:val="20"/>
        </w:rPr>
        <w:t xml:space="preserve">“Political leaders committed to radical or extremist goals often exert authoritarian control in the name of higher values.”  </w:t>
      </w:r>
      <w:r>
        <w:rPr>
          <w:b/>
          <w:bCs/>
          <w:i/>
          <w:iCs/>
          <w:sz w:val="20"/>
        </w:rPr>
        <w:t xml:space="preserve">Support or refute </w:t>
      </w:r>
      <w:r>
        <w:rPr>
          <w:sz w:val="20"/>
        </w:rPr>
        <w:t xml:space="preserve">this statement with reference to the political and cultural policies of Robespierre. </w:t>
      </w:r>
    </w:p>
    <w:p w:rsidR="00A7729D" w:rsidRPr="00A7729D" w:rsidRDefault="00A7729D" w:rsidP="00A7729D">
      <w:pPr>
        <w:pStyle w:val="BodyTextIndent"/>
        <w:ind w:left="360"/>
        <w:rPr>
          <w:sz w:val="20"/>
        </w:rPr>
      </w:pPr>
    </w:p>
    <w:p w:rsidR="00A7729D" w:rsidRPr="00A7729D" w:rsidRDefault="00A7729D" w:rsidP="00A7729D">
      <w:pPr>
        <w:pStyle w:val="BodyTextIndent"/>
        <w:ind w:left="360"/>
        <w:rPr>
          <w:sz w:val="20"/>
        </w:rPr>
      </w:pPr>
      <w:bookmarkStart w:id="0" w:name="_GoBack"/>
      <w:bookmarkEnd w:id="0"/>
    </w:p>
    <w:p w:rsidR="00A7729D" w:rsidRPr="00A7729D" w:rsidRDefault="00A7729D" w:rsidP="00A7729D">
      <w:pPr>
        <w:pStyle w:val="BodyTextIndent"/>
        <w:ind w:left="360"/>
        <w:rPr>
          <w:sz w:val="20"/>
        </w:rPr>
      </w:pPr>
    </w:p>
    <w:p w:rsidR="00A7729D" w:rsidRPr="00A7729D" w:rsidRDefault="00A7729D" w:rsidP="00A7729D">
      <w:pPr>
        <w:pStyle w:val="BodyTextIndent"/>
        <w:ind w:left="360"/>
        <w:rPr>
          <w:sz w:val="20"/>
        </w:rPr>
      </w:pPr>
    </w:p>
    <w:p w:rsidR="002D4119" w:rsidRPr="00A7729D" w:rsidRDefault="00F841AB" w:rsidP="00F841AB">
      <w:pPr>
        <w:pStyle w:val="BodyTextIndent"/>
        <w:numPr>
          <w:ilvl w:val="0"/>
          <w:numId w:val="1"/>
        </w:numPr>
        <w:rPr>
          <w:sz w:val="20"/>
        </w:rPr>
      </w:pPr>
      <w:r w:rsidRPr="00A7729D">
        <w:rPr>
          <w:b/>
          <w:bCs/>
          <w:i/>
          <w:iCs/>
          <w:sz w:val="20"/>
        </w:rPr>
        <w:t>Describe</w:t>
      </w:r>
      <w:r w:rsidRPr="00A7729D">
        <w:rPr>
          <w:sz w:val="20"/>
        </w:rPr>
        <w:t xml:space="preserve"> the ways in which conservative political and social views shaped the peace settlement of the Congress of Vienna.  </w:t>
      </w:r>
      <w:r w:rsidRPr="00A7729D">
        <w:rPr>
          <w:b/>
          <w:bCs/>
          <w:i/>
          <w:iCs/>
          <w:sz w:val="20"/>
        </w:rPr>
        <w:t>Explain</w:t>
      </w:r>
      <w:r w:rsidRPr="00A7729D">
        <w:rPr>
          <w:sz w:val="20"/>
        </w:rPr>
        <w:t xml:space="preserve"> the consequences of the peace settlement immediately following the Congress.</w:t>
      </w:r>
    </w:p>
    <w:sectPr w:rsidR="002D4119" w:rsidRPr="00A7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BB"/>
    <w:multiLevelType w:val="singleLevel"/>
    <w:tmpl w:val="A954A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B"/>
    <w:rsid w:val="002D4119"/>
    <w:rsid w:val="00A7729D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841AB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41A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841AB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41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2013-01-02T14:15:00Z</dcterms:created>
  <dcterms:modified xsi:type="dcterms:W3CDTF">2013-01-02T14:20:00Z</dcterms:modified>
</cp:coreProperties>
</file>