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7" w:rsidRPr="001E5C3D" w:rsidRDefault="00656417" w:rsidP="00656417">
      <w:pPr>
        <w:spacing w:after="0" w:line="240" w:lineRule="auto"/>
        <w:outlineLvl w:val="0"/>
        <w:rPr>
          <w:rFonts w:ascii="Calibri" w:eastAsia="ヒラギノ角ゴ Pro W3" w:hAnsi="Calibri" w:cs="Calibri"/>
          <w:b/>
          <w:color w:val="000000"/>
          <w:sz w:val="40"/>
          <w:szCs w:val="20"/>
        </w:rPr>
      </w:pPr>
      <w:r w:rsidRPr="001E5C3D">
        <w:rPr>
          <w:rFonts w:ascii="Calibri" w:eastAsia="Helvetica" w:hAnsi="Calibri" w:cs="Calibri"/>
          <w:b/>
          <w:color w:val="000000"/>
          <w:sz w:val="40"/>
          <w:szCs w:val="20"/>
        </w:rPr>
        <w:t>FAIRFIELD PUBLIC SCHOOLS</w:t>
      </w:r>
    </w:p>
    <w:p w:rsidR="00656417" w:rsidRPr="001E5C3D" w:rsidRDefault="00656417" w:rsidP="00656417">
      <w:pPr>
        <w:spacing w:after="0" w:line="240" w:lineRule="auto"/>
        <w:outlineLvl w:val="0"/>
        <w:rPr>
          <w:rFonts w:ascii="Calibri" w:eastAsia="ヒラギノ角ゴ Pro W3" w:hAnsi="Calibri" w:cs="Calibri"/>
          <w:b/>
          <w:color w:val="000000"/>
          <w:sz w:val="40"/>
          <w:szCs w:val="20"/>
        </w:rPr>
      </w:pPr>
      <w:r w:rsidRPr="001E5C3D">
        <w:rPr>
          <w:rFonts w:ascii="Calibri" w:eastAsia="Helvetica" w:hAnsi="Calibri" w:cs="Calibri"/>
          <w:b/>
          <w:color w:val="000000"/>
          <w:sz w:val="40"/>
          <w:szCs w:val="20"/>
        </w:rPr>
        <w:t>SCHOOL IMPROVEMENT PLAN</w:t>
      </w:r>
    </w:p>
    <w:p w:rsidR="00656417" w:rsidRPr="0051013D" w:rsidRDefault="00656417" w:rsidP="00656417">
      <w:pPr>
        <w:spacing w:after="0" w:line="240" w:lineRule="auto"/>
        <w:outlineLvl w:val="0"/>
        <w:rPr>
          <w:rFonts w:ascii="Calibri" w:eastAsia="ヒラギノ角ゴ Pro W3" w:hAnsi="Calibri" w:cs="Calibri"/>
          <w:color w:val="000000"/>
          <w:sz w:val="24"/>
          <w:szCs w:val="24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2013-2015</w:t>
      </w:r>
    </w:p>
    <w:p w:rsidR="00656417" w:rsidRPr="0051013D" w:rsidRDefault="00656417" w:rsidP="00656417">
      <w:pPr>
        <w:spacing w:line="240" w:lineRule="auto"/>
        <w:outlineLvl w:val="0"/>
        <w:rPr>
          <w:rFonts w:ascii="Calibri" w:eastAsia="ヒラギノ角ゴ Pro W3" w:hAnsi="Calibri" w:cs="Calibri"/>
          <w:color w:val="000000"/>
          <w:sz w:val="24"/>
          <w:szCs w:val="24"/>
        </w:rPr>
      </w:pPr>
    </w:p>
    <w:p w:rsidR="00656417" w:rsidRPr="0051013D" w:rsidRDefault="00656417" w:rsidP="0065641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013D">
        <w:rPr>
          <w:rFonts w:ascii="Calibri" w:eastAsia="Times New Roman" w:hAnsi="Calibri" w:cs="Calibri"/>
          <w:sz w:val="24"/>
          <w:szCs w:val="24"/>
        </w:rPr>
        <w:t>School</w:t>
      </w:r>
      <w:r w:rsidRPr="0051013D">
        <w:rPr>
          <w:rFonts w:ascii="Calibri" w:eastAsia="Times New Roman" w:hAnsi="Calibri" w:cs="Calibri"/>
          <w:sz w:val="24"/>
          <w:szCs w:val="24"/>
        </w:rPr>
        <w:tab/>
      </w:r>
      <w:r w:rsidRPr="0051013D">
        <w:rPr>
          <w:rFonts w:ascii="Calibri" w:eastAsia="Times New Roman" w:hAnsi="Calibri" w:cs="Calibri"/>
          <w:sz w:val="24"/>
          <w:szCs w:val="24"/>
        </w:rPr>
        <w:tab/>
      </w:r>
      <w:r w:rsidRPr="0051013D">
        <w:rPr>
          <w:rFonts w:ascii="Calibri" w:eastAsia="Times New Roman" w:hAnsi="Calibri" w:cs="Calibri"/>
          <w:sz w:val="24"/>
          <w:szCs w:val="24"/>
        </w:rPr>
        <w:tab/>
        <w:t xml:space="preserve">       </w:t>
      </w:r>
      <w:r w:rsidRPr="0051013D"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  <w:t>Jennings</w:t>
      </w:r>
      <w:r w:rsidRPr="0051013D">
        <w:rPr>
          <w:rFonts w:ascii="Calibri" w:eastAsia="Times New Roman" w:hAnsi="Calibri" w:cs="Calibri"/>
          <w:b/>
          <w:sz w:val="24"/>
          <w:szCs w:val="24"/>
        </w:rPr>
        <w:t xml:space="preserve"> Elementary School</w:t>
      </w:r>
    </w:p>
    <w:p w:rsidR="00656417" w:rsidRPr="0051013D" w:rsidRDefault="00656417" w:rsidP="0065641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013D">
        <w:rPr>
          <w:rFonts w:ascii="Calibri" w:eastAsia="Times New Roman" w:hAnsi="Calibri" w:cs="Calibri"/>
          <w:sz w:val="24"/>
          <w:szCs w:val="24"/>
        </w:rPr>
        <w:t>Pr</w:t>
      </w:r>
      <w:r>
        <w:rPr>
          <w:rFonts w:ascii="Calibri" w:eastAsia="Times New Roman" w:hAnsi="Calibri" w:cs="Calibri"/>
          <w:sz w:val="24"/>
          <w:szCs w:val="24"/>
        </w:rPr>
        <w:t>incipal/Headmaster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Tony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Vuolo</w:t>
      </w:r>
      <w:proofErr w:type="spellEnd"/>
    </w:p>
    <w:p w:rsidR="00656417" w:rsidRPr="0051013D" w:rsidRDefault="00656417" w:rsidP="0065641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013D">
        <w:rPr>
          <w:rFonts w:ascii="Calibri" w:eastAsia="Times New Roman" w:hAnsi="Calibri" w:cs="Calibri"/>
          <w:sz w:val="24"/>
          <w:szCs w:val="24"/>
        </w:rPr>
        <w:t>Date</w:t>
      </w:r>
      <w:r w:rsidRPr="0051013D">
        <w:rPr>
          <w:rFonts w:ascii="Calibri" w:eastAsia="Times New Roman" w:hAnsi="Calibri" w:cs="Calibri"/>
          <w:sz w:val="24"/>
          <w:szCs w:val="24"/>
        </w:rPr>
        <w:tab/>
      </w:r>
      <w:r w:rsidRPr="0051013D">
        <w:rPr>
          <w:rFonts w:ascii="Calibri" w:eastAsia="Times New Roman" w:hAnsi="Calibri" w:cs="Calibri"/>
          <w:sz w:val="24"/>
          <w:szCs w:val="24"/>
        </w:rPr>
        <w:tab/>
      </w:r>
      <w:r w:rsidRPr="0051013D">
        <w:rPr>
          <w:rFonts w:ascii="Calibri" w:eastAsia="Times New Roman" w:hAnsi="Calibri" w:cs="Calibri"/>
          <w:sz w:val="24"/>
          <w:szCs w:val="24"/>
        </w:rPr>
        <w:tab/>
      </w:r>
      <w:r w:rsidRPr="0051013D">
        <w:rPr>
          <w:rFonts w:ascii="Calibri" w:eastAsia="Times New Roman" w:hAnsi="Calibri" w:cs="Calibri"/>
          <w:sz w:val="24"/>
          <w:szCs w:val="24"/>
        </w:rPr>
        <w:tab/>
        <w:t xml:space="preserve">        </w:t>
      </w:r>
      <w:r w:rsidRPr="0051013D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November 6, 2013</w:t>
      </w:r>
    </w:p>
    <w:p w:rsidR="00656417" w:rsidRPr="0051013D" w:rsidRDefault="00656417" w:rsidP="00656417">
      <w:pPr>
        <w:spacing w:after="0" w:line="240" w:lineRule="auto"/>
        <w:ind w:left="3600" w:hanging="3600"/>
        <w:rPr>
          <w:rFonts w:ascii="Calibri" w:eastAsia="Times New Roman" w:hAnsi="Calibri" w:cs="Calibri"/>
          <w:sz w:val="24"/>
          <w:szCs w:val="24"/>
        </w:rPr>
      </w:pPr>
      <w:r w:rsidRPr="0051013D">
        <w:rPr>
          <w:rFonts w:ascii="Calibri" w:eastAsia="Times New Roman" w:hAnsi="Calibri" w:cs="Calibri"/>
          <w:sz w:val="24"/>
          <w:szCs w:val="24"/>
        </w:rPr>
        <w:t>Team Members</w:t>
      </w:r>
      <w:r w:rsidRPr="0051013D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All Jennings Staff</w:t>
      </w:r>
    </w:p>
    <w:p w:rsidR="00656417" w:rsidRPr="0051013D" w:rsidRDefault="00656417" w:rsidP="00656417">
      <w:pPr>
        <w:spacing w:after="0" w:line="240" w:lineRule="auto"/>
        <w:outlineLvl w:val="0"/>
        <w:rPr>
          <w:rFonts w:ascii="Calibri" w:eastAsia="ヒラギノ角ゴ Pro W3" w:hAnsi="Calibri" w:cs="Calibri"/>
          <w:color w:val="000000"/>
          <w:sz w:val="24"/>
          <w:szCs w:val="24"/>
        </w:rPr>
      </w:pPr>
    </w:p>
    <w:p w:rsidR="00656417" w:rsidRPr="00F9657D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 w:rsidRPr="00F9657D">
        <w:rPr>
          <w:rFonts w:ascii="Calibri" w:eastAsia="Helvetica" w:hAnsi="Calibri" w:cs="Calibri"/>
          <w:color w:val="000000"/>
          <w:sz w:val="24"/>
          <w:szCs w:val="24"/>
          <w:u w:val="single"/>
        </w:rPr>
        <w:t xml:space="preserve">Analysis of Student Data  </w:t>
      </w:r>
    </w:p>
    <w:p w:rsidR="00656417" w:rsidRPr="0051013D" w:rsidRDefault="00656417" w:rsidP="00656417">
      <w:pPr>
        <w:spacing w:after="0" w:line="240" w:lineRule="auto"/>
        <w:outlineLvl w:val="0"/>
        <w:rPr>
          <w:rFonts w:ascii="Calibri" w:eastAsia="ヒラギノ角ゴ Pro W3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 w:rsidRPr="0051013D">
        <w:rPr>
          <w:rFonts w:ascii="Calibri" w:eastAsia="Helvetica" w:hAnsi="Calibri" w:cs="Calibri"/>
          <w:color w:val="000000"/>
          <w:sz w:val="24"/>
          <w:szCs w:val="24"/>
          <w:u w:val="single"/>
        </w:rPr>
        <w:t>Celebrations</w:t>
      </w:r>
    </w:p>
    <w:p w:rsidR="00656417" w:rsidRDefault="00656417" w:rsidP="006564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Kindergarten </w:t>
      </w:r>
      <w:proofErr w:type="spellStart"/>
      <w:r>
        <w:t>Aimsweb</w:t>
      </w:r>
      <w:proofErr w:type="spellEnd"/>
      <w:r>
        <w:t xml:space="preserve">: Over the last 2 years in (from 2011-2012 and 2012-2013) the average point growth is very similar, as </w:t>
      </w:r>
      <w:proofErr w:type="gramStart"/>
      <w:r>
        <w:t>are the beginning</w:t>
      </w:r>
      <w:proofErr w:type="gramEnd"/>
      <w:r>
        <w:t xml:space="preserve"> and ending averages. </w:t>
      </w:r>
    </w:p>
    <w:p w:rsidR="00656417" w:rsidRDefault="00656417" w:rsidP="006564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Grade 1 </w:t>
      </w:r>
      <w:proofErr w:type="spellStart"/>
      <w:r>
        <w:t>Aimsweb</w:t>
      </w:r>
      <w:proofErr w:type="spellEnd"/>
      <w:r>
        <w:t>: Fall Mathematics (M-COMP) average increased each year from 2010-2013. Spring M-COMP increased each year from 2010-2013</w:t>
      </w:r>
    </w:p>
    <w:p w:rsidR="00656417" w:rsidRDefault="00656417" w:rsidP="006564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Grade 2 </w:t>
      </w:r>
      <w:proofErr w:type="spellStart"/>
      <w:r>
        <w:t>Aimsweb</w:t>
      </w:r>
      <w:proofErr w:type="spellEnd"/>
      <w:r>
        <w:t>: From 2010-2012 the M-COMP fall average increased each year.</w:t>
      </w:r>
    </w:p>
    <w:p w:rsidR="00656417" w:rsidRDefault="00656417" w:rsidP="00656417">
      <w:pPr>
        <w:spacing w:after="0" w:line="240" w:lineRule="auto"/>
      </w:pPr>
    </w:p>
    <w:p w:rsidR="00656417" w:rsidRDefault="00656417" w:rsidP="00656417">
      <w:pPr>
        <w:pStyle w:val="ListParagraph"/>
        <w:numPr>
          <w:ilvl w:val="0"/>
          <w:numId w:val="1"/>
        </w:numPr>
        <w:spacing w:after="0" w:line="240" w:lineRule="auto"/>
      </w:pPr>
      <w:r>
        <w:t>In grade K-5 an average of 87% in 2011/12 of students reached benchmark as measured by DRA and FP Benchmark increased to 92% in 2012/13</w:t>
      </w:r>
    </w:p>
    <w:p w:rsidR="00656417" w:rsidRDefault="00656417" w:rsidP="00656417">
      <w:pPr>
        <w:pStyle w:val="ListParagraph"/>
      </w:pPr>
    </w:p>
    <w:p w:rsidR="00656417" w:rsidRDefault="00656417" w:rsidP="00656417">
      <w:pPr>
        <w:spacing w:after="0" w:line="240" w:lineRule="auto"/>
      </w:pPr>
      <w:r>
        <w:t>CMT</w:t>
      </w:r>
    </w:p>
    <w:p w:rsidR="00656417" w:rsidRDefault="00656417" w:rsidP="00656417">
      <w:pPr>
        <w:pStyle w:val="ListParagraph"/>
        <w:numPr>
          <w:ilvl w:val="0"/>
          <w:numId w:val="5"/>
        </w:numPr>
        <w:spacing w:after="0" w:line="240" w:lineRule="auto"/>
      </w:pPr>
      <w:r>
        <w:t>Grade 3 hit target of 85% at goal in reading strands: Forming a General understanding (88%) and Developing Interpretation (95%)</w:t>
      </w:r>
    </w:p>
    <w:p w:rsidR="00656417" w:rsidRDefault="00656417" w:rsidP="00656417">
      <w:pPr>
        <w:pStyle w:val="ListParagraph"/>
        <w:numPr>
          <w:ilvl w:val="0"/>
          <w:numId w:val="5"/>
        </w:numPr>
        <w:spacing w:after="0" w:line="240" w:lineRule="auto"/>
      </w:pPr>
      <w:r>
        <w:t>Grade 4 hit target of 85% at goal in reading strand: Forming a General Understanding (90%)</w:t>
      </w:r>
    </w:p>
    <w:p w:rsidR="00656417" w:rsidRDefault="00656417" w:rsidP="00656417">
      <w:pPr>
        <w:pStyle w:val="ListParagraph"/>
        <w:numPr>
          <w:ilvl w:val="0"/>
          <w:numId w:val="5"/>
        </w:numPr>
        <w:spacing w:after="0" w:line="240" w:lineRule="auto"/>
      </w:pPr>
      <w:r>
        <w:t>Grade 5 hit target of 85% at goal in reading strands: Forming General Understanding (98%) Developing Interpretation (85%) Examining Content and Structure (92%)</w:t>
      </w:r>
    </w:p>
    <w:p w:rsidR="00656417" w:rsidRDefault="00656417" w:rsidP="00656417">
      <w:pPr>
        <w:pStyle w:val="ListParagraph"/>
        <w:numPr>
          <w:ilvl w:val="0"/>
          <w:numId w:val="5"/>
        </w:numPr>
        <w:spacing w:after="0" w:line="240" w:lineRule="auto"/>
      </w:pPr>
      <w:r>
        <w:t>Grade 5 hit target of 85% at goal (85%) in reading</w:t>
      </w:r>
    </w:p>
    <w:p w:rsidR="00656417" w:rsidRDefault="00656417" w:rsidP="00656417">
      <w:pPr>
        <w:pStyle w:val="ListParagraph"/>
        <w:numPr>
          <w:ilvl w:val="0"/>
          <w:numId w:val="4"/>
        </w:numPr>
        <w:spacing w:after="0" w:line="240" w:lineRule="auto"/>
      </w:pPr>
      <w:r>
        <w:t>Grades 3-5 hit target of 85% at goal (91%, 92%, 88%) in mathematics</w:t>
      </w:r>
    </w:p>
    <w:p w:rsidR="00656417" w:rsidRDefault="00656417" w:rsidP="00656417">
      <w:pPr>
        <w:pStyle w:val="ListParagraph"/>
        <w:numPr>
          <w:ilvl w:val="0"/>
          <w:numId w:val="4"/>
        </w:numPr>
        <w:spacing w:after="0" w:line="240" w:lineRule="auto"/>
      </w:pPr>
      <w:r>
        <w:t>Grade 4/5 hit target of 85% at goal (86%, 86%) on math strand : Mathematical Understanding</w:t>
      </w:r>
    </w:p>
    <w:p w:rsidR="00656417" w:rsidRPr="000651DF" w:rsidRDefault="00656417" w:rsidP="00656417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Grade 4/5 hit target of 85% at goal (88%, 92%) in writing</w:t>
      </w:r>
    </w:p>
    <w:p w:rsidR="00656417" w:rsidRPr="0051013D" w:rsidRDefault="00656417" w:rsidP="00656417">
      <w:pPr>
        <w:spacing w:line="240" w:lineRule="auto"/>
        <w:contextualSpacing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 w:rsidRPr="001E5C3D">
        <w:rPr>
          <w:rFonts w:ascii="Calibri" w:eastAsia="Helvetica" w:hAnsi="Calibri" w:cs="Calibri"/>
          <w:color w:val="000000"/>
          <w:sz w:val="24"/>
          <w:szCs w:val="24"/>
          <w:u w:val="single"/>
        </w:rPr>
        <w:t>Challenges</w:t>
      </w:r>
    </w:p>
    <w:p w:rsidR="00656417" w:rsidRDefault="00656417" w:rsidP="006564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Grade 1 </w:t>
      </w:r>
      <w:proofErr w:type="spellStart"/>
      <w:r>
        <w:t>Aimsweb</w:t>
      </w:r>
      <w:proofErr w:type="spellEnd"/>
      <w:r>
        <w:t xml:space="preserve">: Growth points are similar in oral count, number id, quantity discrimination, and missing number across years. Less growth in oral count from fall to spring in 2012-2013 </w:t>
      </w:r>
      <w:proofErr w:type="gramStart"/>
      <w:r>
        <w:t>/  higher</w:t>
      </w:r>
      <w:proofErr w:type="gramEnd"/>
      <w:r>
        <w:t xml:space="preserve"> average in the fall.</w:t>
      </w:r>
    </w:p>
    <w:p w:rsidR="00656417" w:rsidRDefault="00656417" w:rsidP="00656417">
      <w:pPr>
        <w:spacing w:after="0" w:line="240" w:lineRule="auto"/>
      </w:pPr>
    </w:p>
    <w:p w:rsidR="00656417" w:rsidRDefault="00656417" w:rsidP="00656417">
      <w:pPr>
        <w:pStyle w:val="ListParagraph"/>
        <w:numPr>
          <w:ilvl w:val="0"/>
          <w:numId w:val="1"/>
        </w:numPr>
        <w:spacing w:after="0" w:line="240" w:lineRule="auto"/>
      </w:pPr>
      <w:r>
        <w:t>Grade 2 DRA decreased from 85% of students reaching benchmark at MOY and 83% of students reaching benchmark at EOY.</w:t>
      </w:r>
    </w:p>
    <w:p w:rsidR="00656417" w:rsidRDefault="00656417" w:rsidP="00656417">
      <w:pPr>
        <w:pStyle w:val="ListParagraph"/>
      </w:pPr>
    </w:p>
    <w:p w:rsidR="00656417" w:rsidRDefault="00656417" w:rsidP="00656417">
      <w:pPr>
        <w:spacing w:after="0" w:line="240" w:lineRule="auto"/>
      </w:pPr>
      <w:r>
        <w:t>CMT</w:t>
      </w:r>
    </w:p>
    <w:p w:rsidR="00656417" w:rsidRDefault="00656417" w:rsidP="00656417">
      <w:pPr>
        <w:pStyle w:val="ListParagraph"/>
        <w:numPr>
          <w:ilvl w:val="0"/>
          <w:numId w:val="3"/>
        </w:numPr>
        <w:spacing w:after="0" w:line="240" w:lineRule="auto"/>
      </w:pPr>
      <w:r>
        <w:t>Grade 3/4  did not hit target of 85% at goal (72%, 67%) in reading</w:t>
      </w:r>
    </w:p>
    <w:p w:rsidR="00656417" w:rsidRDefault="00656417" w:rsidP="0065641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Grade 3-5 did not hit target of 85% at goal on math </w:t>
      </w:r>
      <w:proofErr w:type="gramStart"/>
      <w:r>
        <w:t>strand :</w:t>
      </w:r>
      <w:proofErr w:type="gramEnd"/>
      <w:r>
        <w:t xml:space="preserve"> Estimating solutions to Problems (76%, 70%, 78%)</w:t>
      </w:r>
    </w:p>
    <w:p w:rsidR="00656417" w:rsidRDefault="00656417" w:rsidP="00656417">
      <w:pPr>
        <w:pStyle w:val="ListParagraph"/>
        <w:numPr>
          <w:ilvl w:val="0"/>
          <w:numId w:val="3"/>
        </w:numPr>
        <w:spacing w:after="0" w:line="240" w:lineRule="auto"/>
      </w:pPr>
      <w:r>
        <w:t>Grade 3 did not hit target of 85% at goal (72%) in writing</w:t>
      </w:r>
    </w:p>
    <w:p w:rsidR="00656417" w:rsidRDefault="00656417" w:rsidP="00656417">
      <w:pPr>
        <w:spacing w:line="240" w:lineRule="auto"/>
        <w:contextualSpacing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ab/>
      </w:r>
    </w:p>
    <w:p w:rsidR="00656417" w:rsidRPr="00FD777E" w:rsidRDefault="00656417" w:rsidP="00656417">
      <w:pPr>
        <w:spacing w:line="240" w:lineRule="auto"/>
        <w:contextualSpacing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 w:rsidRPr="001E5C3D">
        <w:rPr>
          <w:rFonts w:ascii="Calibri" w:eastAsia="Helvetica" w:hAnsi="Calibri" w:cs="Calibri"/>
          <w:color w:val="000000"/>
          <w:sz w:val="24"/>
          <w:szCs w:val="24"/>
          <w:u w:val="single"/>
        </w:rPr>
        <w:t>Hypotheses</w:t>
      </w:r>
    </w:p>
    <w:p w:rsidR="00656417" w:rsidRPr="006C6C4C" w:rsidRDefault="00656417" w:rsidP="00656417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Work with Data teams to identify strategies that impact instruction</w:t>
      </w:r>
    </w:p>
    <w:p w:rsidR="00656417" w:rsidRPr="006C6C4C" w:rsidRDefault="00656417" w:rsidP="00656417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School Improvement focus on Differentiation and Small Group Instruction</w:t>
      </w:r>
    </w:p>
    <w:p w:rsidR="00656417" w:rsidRPr="006C6C4C" w:rsidRDefault="00656417" w:rsidP="00656417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Curriculum Revisions</w:t>
      </w:r>
    </w:p>
    <w:p w:rsidR="00656417" w:rsidRPr="006C6C4C" w:rsidRDefault="00656417" w:rsidP="00656417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Standards Based Progress Report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ind w:left="2193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tbl>
      <w:tblPr>
        <w:tblW w:w="9430" w:type="dxa"/>
        <w:jc w:val="center"/>
        <w:tblInd w:w="93" w:type="dxa"/>
        <w:tblLook w:val="04A0"/>
      </w:tblPr>
      <w:tblGrid>
        <w:gridCol w:w="1745"/>
        <w:gridCol w:w="278"/>
        <w:gridCol w:w="1477"/>
        <w:gridCol w:w="1477"/>
        <w:gridCol w:w="1477"/>
        <w:gridCol w:w="1384"/>
        <w:gridCol w:w="1569"/>
        <w:gridCol w:w="23"/>
      </w:tblGrid>
      <w:tr w:rsidR="00656417" w:rsidRPr="00C52BA3" w:rsidTr="00E02FC9">
        <w:trPr>
          <w:trHeight w:val="935"/>
          <w:jc w:val="center"/>
        </w:trPr>
        <w:tc>
          <w:tcPr>
            <w:tcW w:w="9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  <w:sz w:val="36"/>
                <w:szCs w:val="36"/>
              </w:rPr>
            </w:pPr>
            <w:r w:rsidRPr="006C6C4C">
              <w:rPr>
                <w:b/>
                <w:sz w:val="36"/>
                <w:szCs w:val="36"/>
              </w:rPr>
              <w:lastRenderedPageBreak/>
              <w:t>Jennings</w:t>
            </w:r>
            <w:r w:rsidRPr="006C6C4C">
              <w:rPr>
                <w:b/>
                <w:sz w:val="36"/>
                <w:szCs w:val="36"/>
              </w:rPr>
              <w:br/>
              <w:t>DRA2 and F &amp; P Benchmark Mid-Year and EOY Data</w:t>
            </w:r>
            <w:r w:rsidRPr="006C6C4C">
              <w:rPr>
                <w:b/>
                <w:sz w:val="36"/>
                <w:szCs w:val="36"/>
              </w:rPr>
              <w:br/>
              <w:t xml:space="preserve">Percent at or above Goal </w:t>
            </w:r>
          </w:p>
        </w:tc>
      </w:tr>
      <w:tr w:rsidR="00656417" w:rsidRPr="006C6C4C" w:rsidTr="00E02FC9">
        <w:trPr>
          <w:gridAfter w:val="1"/>
          <w:wAfter w:w="23" w:type="dxa"/>
          <w:trHeight w:val="953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2009-2010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2010-2011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417" w:rsidRPr="006C6C4C" w:rsidRDefault="00656417" w:rsidP="00E02FC9">
            <w:pPr>
              <w:rPr>
                <w:b/>
              </w:rPr>
            </w:pPr>
          </w:p>
          <w:p w:rsidR="00656417" w:rsidRPr="006C6C4C" w:rsidRDefault="00656417" w:rsidP="00E02FC9">
            <w:pPr>
              <w:rPr>
                <w:b/>
              </w:rPr>
            </w:pPr>
          </w:p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2011-2012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17" w:rsidRPr="006C6C4C" w:rsidRDefault="00656417" w:rsidP="00E02FC9">
            <w:pPr>
              <w:rPr>
                <w:b/>
              </w:rPr>
            </w:pPr>
          </w:p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2012-2013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Jennings</w:t>
            </w:r>
          </w:p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2013</w:t>
            </w:r>
          </w:p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Target</w:t>
            </w:r>
          </w:p>
        </w:tc>
      </w:tr>
      <w:tr w:rsidR="00656417" w:rsidRPr="006C6C4C" w:rsidTr="00E02FC9">
        <w:trPr>
          <w:gridAfter w:val="1"/>
          <w:wAfter w:w="23" w:type="dxa"/>
          <w:trHeight w:val="37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Kindergarten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67% (n/a)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76% / 83%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  <w:bCs/>
                <w:iCs/>
              </w:rPr>
            </w:pPr>
            <w:r w:rsidRPr="006C6C4C">
              <w:rPr>
                <w:b/>
                <w:bCs/>
                <w:iCs/>
              </w:rPr>
              <w:t>91% / 83%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86% / 92%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82%</w:t>
            </w:r>
          </w:p>
        </w:tc>
      </w:tr>
      <w:tr w:rsidR="00656417" w:rsidRPr="006C6C4C" w:rsidTr="00E02FC9">
        <w:trPr>
          <w:gridAfter w:val="1"/>
          <w:wAfter w:w="23" w:type="dxa"/>
          <w:trHeight w:val="37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1st Grade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83% / 88%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79% / 95%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  <w:bCs/>
                <w:iCs/>
              </w:rPr>
            </w:pPr>
            <w:r w:rsidRPr="006C6C4C">
              <w:rPr>
                <w:b/>
                <w:bCs/>
                <w:iCs/>
              </w:rPr>
              <w:t>78% / 79%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86% / 90%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87%</w:t>
            </w:r>
          </w:p>
        </w:tc>
      </w:tr>
      <w:tr w:rsidR="00656417" w:rsidRPr="006C6C4C" w:rsidTr="00E02FC9">
        <w:trPr>
          <w:gridAfter w:val="1"/>
          <w:wAfter w:w="23" w:type="dxa"/>
          <w:trHeight w:val="37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2nd Grade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80% / 80%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72% / 94%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  <w:bCs/>
                <w:iCs/>
              </w:rPr>
            </w:pPr>
            <w:r w:rsidRPr="006C6C4C">
              <w:rPr>
                <w:b/>
                <w:bCs/>
                <w:iCs/>
              </w:rPr>
              <w:t>84% / 93%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85% / 83%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88%</w:t>
            </w:r>
          </w:p>
        </w:tc>
      </w:tr>
      <w:tr w:rsidR="00656417" w:rsidRPr="006C6C4C" w:rsidTr="00E02FC9">
        <w:trPr>
          <w:gridAfter w:val="1"/>
          <w:wAfter w:w="23" w:type="dxa"/>
          <w:trHeight w:val="37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3rd Grade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81% / 85%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77% / 77%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  <w:bCs/>
              </w:rPr>
            </w:pPr>
            <w:r w:rsidRPr="006C6C4C">
              <w:rPr>
                <w:b/>
                <w:bCs/>
              </w:rPr>
              <w:t>84% / 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87% / 98%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90%</w:t>
            </w:r>
          </w:p>
        </w:tc>
      </w:tr>
      <w:tr w:rsidR="00656417" w:rsidRPr="006C6C4C" w:rsidTr="00E02FC9">
        <w:trPr>
          <w:gridAfter w:val="1"/>
          <w:wAfter w:w="23" w:type="dxa"/>
          <w:trHeight w:val="37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 xml:space="preserve">4th Grade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87% / 82%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90% / 92%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  <w:bCs/>
                <w:sz w:val="20"/>
                <w:szCs w:val="20"/>
              </w:rPr>
            </w:pPr>
            <w:r w:rsidRPr="006C6C4C">
              <w:rPr>
                <w:b/>
                <w:bCs/>
                <w:sz w:val="20"/>
                <w:szCs w:val="20"/>
              </w:rPr>
              <w:t>B 84% / 77%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417" w:rsidRPr="006C6C4C" w:rsidRDefault="00656417" w:rsidP="00E02FC9">
            <w:pPr>
              <w:rPr>
                <w:b/>
                <w:sz w:val="20"/>
                <w:szCs w:val="20"/>
              </w:rPr>
            </w:pPr>
            <w:r w:rsidRPr="006C6C4C">
              <w:rPr>
                <w:b/>
                <w:sz w:val="20"/>
                <w:szCs w:val="20"/>
              </w:rPr>
              <w:t>81% / 100%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95%</w:t>
            </w:r>
          </w:p>
        </w:tc>
      </w:tr>
      <w:tr w:rsidR="00656417" w:rsidRPr="006C6C4C" w:rsidTr="00E02FC9">
        <w:trPr>
          <w:gridAfter w:val="1"/>
          <w:wAfter w:w="23" w:type="dxa"/>
          <w:trHeight w:val="375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5th Grade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94% / 92%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93% / 96%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  <w:bCs/>
                <w:sz w:val="20"/>
                <w:szCs w:val="20"/>
              </w:rPr>
            </w:pPr>
            <w:r w:rsidRPr="006C6C4C">
              <w:rPr>
                <w:b/>
                <w:bCs/>
                <w:sz w:val="20"/>
                <w:szCs w:val="20"/>
              </w:rPr>
              <w:t>B 56% / 89%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417" w:rsidRPr="006C6C4C" w:rsidRDefault="00656417" w:rsidP="00E02FC9">
            <w:pPr>
              <w:rPr>
                <w:b/>
                <w:sz w:val="20"/>
                <w:szCs w:val="20"/>
              </w:rPr>
            </w:pPr>
            <w:r w:rsidRPr="006C6C4C">
              <w:rPr>
                <w:b/>
                <w:sz w:val="20"/>
                <w:szCs w:val="20"/>
              </w:rPr>
              <w:t>82% / 91%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17" w:rsidRPr="006C6C4C" w:rsidRDefault="00656417" w:rsidP="00E02FC9">
            <w:pPr>
              <w:rPr>
                <w:b/>
              </w:rPr>
            </w:pPr>
            <w:r w:rsidRPr="006C6C4C">
              <w:rPr>
                <w:b/>
              </w:rPr>
              <w:t>95%</w:t>
            </w:r>
          </w:p>
        </w:tc>
      </w:tr>
    </w:tbl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Pr="001E5C3D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</w:p>
    <w:p w:rsidR="00656417" w:rsidRDefault="00656417" w:rsidP="00656417"/>
    <w:tbl>
      <w:tblPr>
        <w:tblStyle w:val="TableGrid"/>
        <w:tblW w:w="11364" w:type="dxa"/>
        <w:jc w:val="center"/>
        <w:tblInd w:w="-612" w:type="dxa"/>
        <w:tblLook w:val="04A0"/>
      </w:tblPr>
      <w:tblGrid>
        <w:gridCol w:w="1512"/>
        <w:gridCol w:w="948"/>
        <w:gridCol w:w="948"/>
        <w:gridCol w:w="859"/>
        <w:gridCol w:w="948"/>
        <w:gridCol w:w="948"/>
        <w:gridCol w:w="859"/>
        <w:gridCol w:w="948"/>
        <w:gridCol w:w="948"/>
        <w:gridCol w:w="859"/>
        <w:gridCol w:w="948"/>
        <w:gridCol w:w="792"/>
      </w:tblGrid>
      <w:tr w:rsidR="00656417" w:rsidTr="00E02FC9">
        <w:trPr>
          <w:jc w:val="center"/>
        </w:trPr>
        <w:tc>
          <w:tcPr>
            <w:tcW w:w="11364" w:type="dxa"/>
            <w:gridSpan w:val="12"/>
          </w:tcPr>
          <w:p w:rsidR="00656417" w:rsidRPr="007C69C8" w:rsidRDefault="00656417" w:rsidP="00E02FC9">
            <w:pPr>
              <w:rPr>
                <w:sz w:val="36"/>
                <w:szCs w:val="36"/>
              </w:rPr>
            </w:pPr>
            <w:r w:rsidRPr="007C69C8">
              <w:rPr>
                <w:sz w:val="36"/>
                <w:szCs w:val="36"/>
              </w:rPr>
              <w:lastRenderedPageBreak/>
              <w:t xml:space="preserve">Jennings </w:t>
            </w:r>
            <w:proofErr w:type="spellStart"/>
            <w:r w:rsidRPr="007C69C8">
              <w:rPr>
                <w:sz w:val="36"/>
                <w:szCs w:val="36"/>
              </w:rPr>
              <w:t>AIMSweb</w:t>
            </w:r>
            <w:proofErr w:type="spellEnd"/>
            <w:r w:rsidRPr="007C69C8">
              <w:rPr>
                <w:sz w:val="36"/>
                <w:szCs w:val="36"/>
              </w:rPr>
              <w:t xml:space="preserve"> data-Kindergarten</w:t>
            </w:r>
          </w:p>
        </w:tc>
      </w:tr>
      <w:tr w:rsidR="00656417" w:rsidRPr="007C69C8" w:rsidTr="00E02FC9">
        <w:trPr>
          <w:jc w:val="center"/>
        </w:trPr>
        <w:tc>
          <w:tcPr>
            <w:tcW w:w="1831" w:type="dxa"/>
          </w:tcPr>
          <w:p w:rsidR="00656417" w:rsidRPr="007C69C8" w:rsidRDefault="00656417" w:rsidP="00E02FC9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Winter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 xml:space="preserve">Average 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2010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Spring Average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2011</w:t>
            </w:r>
          </w:p>
        </w:tc>
        <w:tc>
          <w:tcPr>
            <w:tcW w:w="833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2010-2011 point g</w:t>
            </w:r>
            <w:r w:rsidRPr="007C69C8">
              <w:rPr>
                <w:szCs w:val="24"/>
              </w:rPr>
              <w:t>rowth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Fall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Average  2011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Spring Average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2012</w:t>
            </w:r>
          </w:p>
        </w:tc>
        <w:tc>
          <w:tcPr>
            <w:tcW w:w="801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 xml:space="preserve">2011-2012 point 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growth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Fall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Average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2012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Spring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Average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2013</w:t>
            </w:r>
          </w:p>
        </w:tc>
        <w:tc>
          <w:tcPr>
            <w:tcW w:w="828" w:type="dxa"/>
          </w:tcPr>
          <w:p w:rsidR="00656417" w:rsidRDefault="00656417" w:rsidP="00E0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2012-</w:t>
            </w:r>
          </w:p>
          <w:p w:rsidR="00656417" w:rsidRDefault="00656417" w:rsidP="00E0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  <w:p w:rsidR="00656417" w:rsidRDefault="00656417" w:rsidP="00E0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point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growth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Fall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Average</w:t>
            </w:r>
          </w:p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2013</w:t>
            </w:r>
          </w:p>
        </w:tc>
        <w:tc>
          <w:tcPr>
            <w:tcW w:w="798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Target</w:t>
            </w:r>
          </w:p>
        </w:tc>
      </w:tr>
      <w:tr w:rsidR="00656417" w:rsidRPr="007C69C8" w:rsidTr="00E02FC9">
        <w:trPr>
          <w:jc w:val="center"/>
        </w:trPr>
        <w:tc>
          <w:tcPr>
            <w:tcW w:w="1831" w:type="dxa"/>
          </w:tcPr>
          <w:p w:rsidR="00656417" w:rsidRPr="007C69C8" w:rsidRDefault="00656417" w:rsidP="00E02FC9">
            <w:pPr>
              <w:rPr>
                <w:szCs w:val="24"/>
              </w:rPr>
            </w:pPr>
            <w:r w:rsidRPr="007C69C8">
              <w:rPr>
                <w:szCs w:val="24"/>
              </w:rPr>
              <w:t>Oral Counting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61.0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70.0</w:t>
            </w:r>
          </w:p>
        </w:tc>
        <w:tc>
          <w:tcPr>
            <w:tcW w:w="833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9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52.0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76.0</w:t>
            </w:r>
          </w:p>
        </w:tc>
        <w:tc>
          <w:tcPr>
            <w:tcW w:w="801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24 points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51.0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72.0</w:t>
            </w:r>
          </w:p>
        </w:tc>
        <w:tc>
          <w:tcPr>
            <w:tcW w:w="828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21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51.0</w:t>
            </w:r>
          </w:p>
        </w:tc>
        <w:tc>
          <w:tcPr>
            <w:tcW w:w="798" w:type="dxa"/>
          </w:tcPr>
          <w:p w:rsidR="00656417" w:rsidRPr="007C69C8" w:rsidRDefault="00656417" w:rsidP="00E02FC9">
            <w:pPr>
              <w:rPr>
                <w:szCs w:val="24"/>
              </w:rPr>
            </w:pPr>
          </w:p>
        </w:tc>
      </w:tr>
      <w:tr w:rsidR="00656417" w:rsidRPr="007C69C8" w:rsidTr="00E02FC9">
        <w:trPr>
          <w:jc w:val="center"/>
        </w:trPr>
        <w:tc>
          <w:tcPr>
            <w:tcW w:w="1831" w:type="dxa"/>
          </w:tcPr>
          <w:p w:rsidR="00656417" w:rsidRPr="007C69C8" w:rsidRDefault="00656417" w:rsidP="00E02FC9">
            <w:pPr>
              <w:rPr>
                <w:szCs w:val="24"/>
              </w:rPr>
            </w:pPr>
            <w:r w:rsidRPr="007C69C8">
              <w:rPr>
                <w:szCs w:val="24"/>
              </w:rPr>
              <w:t>Number Identification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45.0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52.0</w:t>
            </w:r>
          </w:p>
        </w:tc>
        <w:tc>
          <w:tcPr>
            <w:tcW w:w="833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7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41.0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52.0</w:t>
            </w:r>
          </w:p>
        </w:tc>
        <w:tc>
          <w:tcPr>
            <w:tcW w:w="801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11</w:t>
            </w:r>
          </w:p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points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41.0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53.0</w:t>
            </w:r>
          </w:p>
        </w:tc>
        <w:tc>
          <w:tcPr>
            <w:tcW w:w="828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12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40.0</w:t>
            </w:r>
          </w:p>
        </w:tc>
        <w:tc>
          <w:tcPr>
            <w:tcW w:w="798" w:type="dxa"/>
          </w:tcPr>
          <w:p w:rsidR="00656417" w:rsidRPr="007C69C8" w:rsidRDefault="00656417" w:rsidP="00E02FC9">
            <w:pPr>
              <w:rPr>
                <w:szCs w:val="24"/>
              </w:rPr>
            </w:pPr>
          </w:p>
        </w:tc>
      </w:tr>
      <w:tr w:rsidR="00656417" w:rsidRPr="007C69C8" w:rsidTr="00E02FC9">
        <w:trPr>
          <w:jc w:val="center"/>
        </w:trPr>
        <w:tc>
          <w:tcPr>
            <w:tcW w:w="1831" w:type="dxa"/>
          </w:tcPr>
          <w:p w:rsidR="00656417" w:rsidRPr="007C69C8" w:rsidRDefault="00656417" w:rsidP="00E02FC9">
            <w:pPr>
              <w:rPr>
                <w:szCs w:val="24"/>
              </w:rPr>
            </w:pPr>
            <w:r w:rsidRPr="007C69C8">
              <w:rPr>
                <w:szCs w:val="24"/>
              </w:rPr>
              <w:t>Quantity Discrimination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22.0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25.0</w:t>
            </w:r>
          </w:p>
        </w:tc>
        <w:tc>
          <w:tcPr>
            <w:tcW w:w="833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3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19.0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26.0</w:t>
            </w:r>
          </w:p>
        </w:tc>
        <w:tc>
          <w:tcPr>
            <w:tcW w:w="801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7 points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19.0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26.0</w:t>
            </w:r>
          </w:p>
        </w:tc>
        <w:tc>
          <w:tcPr>
            <w:tcW w:w="828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7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18.0</w:t>
            </w:r>
          </w:p>
        </w:tc>
        <w:tc>
          <w:tcPr>
            <w:tcW w:w="798" w:type="dxa"/>
          </w:tcPr>
          <w:p w:rsidR="00656417" w:rsidRPr="007C69C8" w:rsidRDefault="00656417" w:rsidP="00E02FC9">
            <w:pPr>
              <w:rPr>
                <w:szCs w:val="24"/>
              </w:rPr>
            </w:pPr>
          </w:p>
        </w:tc>
      </w:tr>
      <w:tr w:rsidR="00656417" w:rsidRPr="007C69C8" w:rsidTr="00E02FC9">
        <w:trPr>
          <w:jc w:val="center"/>
        </w:trPr>
        <w:tc>
          <w:tcPr>
            <w:tcW w:w="1831" w:type="dxa"/>
          </w:tcPr>
          <w:p w:rsidR="00656417" w:rsidRPr="007C69C8" w:rsidRDefault="00656417" w:rsidP="00E02FC9">
            <w:pPr>
              <w:rPr>
                <w:szCs w:val="24"/>
              </w:rPr>
            </w:pPr>
            <w:r w:rsidRPr="007C69C8">
              <w:rPr>
                <w:szCs w:val="24"/>
              </w:rPr>
              <w:t>Missing Number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13.0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16.0</w:t>
            </w:r>
          </w:p>
        </w:tc>
        <w:tc>
          <w:tcPr>
            <w:tcW w:w="833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3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9.0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16.0</w:t>
            </w:r>
          </w:p>
        </w:tc>
        <w:tc>
          <w:tcPr>
            <w:tcW w:w="801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7 points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8.0</w:t>
            </w:r>
          </w:p>
        </w:tc>
        <w:tc>
          <w:tcPr>
            <w:tcW w:w="894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15.0</w:t>
            </w:r>
          </w:p>
        </w:tc>
        <w:tc>
          <w:tcPr>
            <w:tcW w:w="828" w:type="dxa"/>
          </w:tcPr>
          <w:p w:rsidR="00656417" w:rsidRPr="007C69C8" w:rsidRDefault="00656417" w:rsidP="00E02FC9">
            <w:pPr>
              <w:jc w:val="center"/>
              <w:rPr>
                <w:szCs w:val="24"/>
                <w:highlight w:val="yellow"/>
              </w:rPr>
            </w:pPr>
            <w:r w:rsidRPr="007C69C8">
              <w:rPr>
                <w:szCs w:val="24"/>
                <w:highlight w:val="yellow"/>
              </w:rPr>
              <w:t>7 points</w:t>
            </w:r>
          </w:p>
        </w:tc>
        <w:tc>
          <w:tcPr>
            <w:tcW w:w="899" w:type="dxa"/>
          </w:tcPr>
          <w:p w:rsidR="00656417" w:rsidRPr="007C69C8" w:rsidRDefault="00656417" w:rsidP="00E02FC9">
            <w:pPr>
              <w:jc w:val="center"/>
              <w:rPr>
                <w:szCs w:val="24"/>
              </w:rPr>
            </w:pPr>
            <w:r w:rsidRPr="007C69C8">
              <w:rPr>
                <w:szCs w:val="24"/>
              </w:rPr>
              <w:t>8.0</w:t>
            </w:r>
          </w:p>
        </w:tc>
        <w:tc>
          <w:tcPr>
            <w:tcW w:w="798" w:type="dxa"/>
          </w:tcPr>
          <w:p w:rsidR="00656417" w:rsidRPr="007C69C8" w:rsidRDefault="00656417" w:rsidP="00E02FC9">
            <w:pPr>
              <w:rPr>
                <w:szCs w:val="24"/>
              </w:rPr>
            </w:pPr>
          </w:p>
        </w:tc>
      </w:tr>
    </w:tbl>
    <w:p w:rsidR="00656417" w:rsidRDefault="00656417" w:rsidP="00656417"/>
    <w:tbl>
      <w:tblPr>
        <w:tblStyle w:val="TableGrid"/>
        <w:tblW w:w="0" w:type="auto"/>
        <w:jc w:val="center"/>
        <w:tblInd w:w="-342" w:type="dxa"/>
        <w:tblLook w:val="04A0"/>
      </w:tblPr>
      <w:tblGrid>
        <w:gridCol w:w="1873"/>
        <w:gridCol w:w="1058"/>
        <w:gridCol w:w="1059"/>
        <w:gridCol w:w="1058"/>
        <w:gridCol w:w="1059"/>
        <w:gridCol w:w="1059"/>
        <w:gridCol w:w="1058"/>
        <w:gridCol w:w="1059"/>
        <w:gridCol w:w="1059"/>
        <w:gridCol w:w="1058"/>
        <w:gridCol w:w="1059"/>
        <w:gridCol w:w="1059"/>
      </w:tblGrid>
      <w:tr w:rsidR="00656417" w:rsidTr="00E02FC9">
        <w:trPr>
          <w:jc w:val="center"/>
        </w:trPr>
        <w:tc>
          <w:tcPr>
            <w:tcW w:w="13518" w:type="dxa"/>
            <w:gridSpan w:val="12"/>
          </w:tcPr>
          <w:p w:rsidR="00656417" w:rsidRPr="00327BF9" w:rsidRDefault="00656417" w:rsidP="00E02FC9">
            <w:pPr>
              <w:rPr>
                <w:sz w:val="36"/>
                <w:szCs w:val="36"/>
              </w:rPr>
            </w:pPr>
            <w:r w:rsidRPr="00327BF9">
              <w:rPr>
                <w:sz w:val="36"/>
                <w:szCs w:val="36"/>
              </w:rPr>
              <w:t xml:space="preserve">Jennings </w:t>
            </w:r>
            <w:proofErr w:type="spellStart"/>
            <w:r w:rsidRPr="00327BF9">
              <w:rPr>
                <w:sz w:val="36"/>
                <w:szCs w:val="36"/>
              </w:rPr>
              <w:t>AIMSweb</w:t>
            </w:r>
            <w:proofErr w:type="spellEnd"/>
            <w:r w:rsidRPr="00327BF9">
              <w:rPr>
                <w:sz w:val="36"/>
                <w:szCs w:val="36"/>
              </w:rPr>
              <w:t xml:space="preserve"> data- Grade 1</w:t>
            </w:r>
          </w:p>
        </w:tc>
      </w:tr>
      <w:tr w:rsidR="00656417" w:rsidTr="00E02FC9">
        <w:trPr>
          <w:jc w:val="center"/>
        </w:trPr>
        <w:tc>
          <w:tcPr>
            <w:tcW w:w="1873" w:type="dxa"/>
          </w:tcPr>
          <w:p w:rsidR="00656417" w:rsidRDefault="00656417" w:rsidP="00E02FC9"/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Fall Average</w:t>
            </w:r>
          </w:p>
          <w:p w:rsidR="00656417" w:rsidRDefault="00656417" w:rsidP="00E02FC9">
            <w:pPr>
              <w:jc w:val="center"/>
            </w:pPr>
            <w:r>
              <w:t>2010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Spring Average</w:t>
            </w:r>
          </w:p>
          <w:p w:rsidR="00656417" w:rsidRDefault="00656417" w:rsidP="00E02FC9">
            <w:pPr>
              <w:jc w:val="center"/>
            </w:pPr>
            <w:r>
              <w:t>2011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2010-2011 point</w:t>
            </w:r>
          </w:p>
          <w:p w:rsidR="00656417" w:rsidRDefault="00656417" w:rsidP="00E02FC9">
            <w:pPr>
              <w:jc w:val="center"/>
            </w:pPr>
            <w:r>
              <w:t>growth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Fall Average</w:t>
            </w:r>
          </w:p>
          <w:p w:rsidR="00656417" w:rsidRDefault="00656417" w:rsidP="00E02FC9">
            <w:pPr>
              <w:jc w:val="center"/>
            </w:pPr>
            <w:r>
              <w:t>2011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Spring Average</w:t>
            </w:r>
          </w:p>
          <w:p w:rsidR="00656417" w:rsidRDefault="00656417" w:rsidP="00E02FC9">
            <w:pPr>
              <w:jc w:val="center"/>
            </w:pPr>
            <w:r>
              <w:t>2012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2011-2012 point</w:t>
            </w:r>
          </w:p>
          <w:p w:rsidR="00656417" w:rsidRDefault="00656417" w:rsidP="00E02FC9">
            <w:pPr>
              <w:jc w:val="center"/>
            </w:pPr>
            <w:r>
              <w:t>growth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Fall Average</w:t>
            </w:r>
          </w:p>
          <w:p w:rsidR="00656417" w:rsidRDefault="00656417" w:rsidP="00E02FC9">
            <w:pPr>
              <w:jc w:val="center"/>
            </w:pPr>
            <w:r>
              <w:t>2012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Spring Average</w:t>
            </w:r>
          </w:p>
          <w:p w:rsidR="00656417" w:rsidRDefault="00656417" w:rsidP="00E02FC9">
            <w:pPr>
              <w:jc w:val="center"/>
            </w:pPr>
            <w:r>
              <w:t>2013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2012-2013 point</w:t>
            </w:r>
          </w:p>
          <w:p w:rsidR="00656417" w:rsidRDefault="00656417" w:rsidP="00E02FC9">
            <w:pPr>
              <w:jc w:val="center"/>
            </w:pPr>
            <w:r>
              <w:t>growth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Fall Average</w:t>
            </w:r>
          </w:p>
          <w:p w:rsidR="00656417" w:rsidRDefault="00656417" w:rsidP="00E02FC9">
            <w:pPr>
              <w:jc w:val="center"/>
            </w:pPr>
            <w:r>
              <w:t>2013</w:t>
            </w:r>
          </w:p>
        </w:tc>
        <w:tc>
          <w:tcPr>
            <w:tcW w:w="1059" w:type="dxa"/>
          </w:tcPr>
          <w:p w:rsidR="00656417" w:rsidRDefault="00656417" w:rsidP="00E02FC9">
            <w:r>
              <w:t>Target</w:t>
            </w:r>
          </w:p>
        </w:tc>
      </w:tr>
      <w:tr w:rsidR="00656417" w:rsidTr="00E02FC9">
        <w:trPr>
          <w:trHeight w:val="552"/>
          <w:jc w:val="center"/>
        </w:trPr>
        <w:tc>
          <w:tcPr>
            <w:tcW w:w="1873" w:type="dxa"/>
          </w:tcPr>
          <w:p w:rsidR="00656417" w:rsidRDefault="00656417" w:rsidP="00E02FC9">
            <w:r>
              <w:t>Oral count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72.0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90.0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18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67.0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87.0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20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79.0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92.0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13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75.0</w:t>
            </w:r>
          </w:p>
        </w:tc>
        <w:tc>
          <w:tcPr>
            <w:tcW w:w="1059" w:type="dxa"/>
          </w:tcPr>
          <w:p w:rsidR="00656417" w:rsidRDefault="00656417" w:rsidP="00E02FC9"/>
        </w:tc>
      </w:tr>
      <w:tr w:rsidR="00656417" w:rsidTr="00E02FC9">
        <w:trPr>
          <w:trHeight w:val="552"/>
          <w:jc w:val="center"/>
        </w:trPr>
        <w:tc>
          <w:tcPr>
            <w:tcW w:w="1873" w:type="dxa"/>
          </w:tcPr>
          <w:p w:rsidR="00656417" w:rsidRDefault="00656417" w:rsidP="00E02FC9">
            <w:r>
              <w:t>Number Identification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48.0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66.0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18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43.0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62.0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19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48.0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64.0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16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48.0</w:t>
            </w:r>
          </w:p>
        </w:tc>
        <w:tc>
          <w:tcPr>
            <w:tcW w:w="1059" w:type="dxa"/>
          </w:tcPr>
          <w:p w:rsidR="00656417" w:rsidRDefault="00656417" w:rsidP="00E02FC9"/>
        </w:tc>
      </w:tr>
      <w:tr w:rsidR="00656417" w:rsidTr="00E02FC9">
        <w:trPr>
          <w:trHeight w:val="552"/>
          <w:jc w:val="center"/>
        </w:trPr>
        <w:tc>
          <w:tcPr>
            <w:tcW w:w="1873" w:type="dxa"/>
          </w:tcPr>
          <w:p w:rsidR="00656417" w:rsidRDefault="00656417" w:rsidP="00E02FC9">
            <w:r>
              <w:t>Quantity Discrimination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24.0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35.0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11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21.0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34.0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13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25.0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35.0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10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26.0</w:t>
            </w:r>
          </w:p>
        </w:tc>
        <w:tc>
          <w:tcPr>
            <w:tcW w:w="1059" w:type="dxa"/>
          </w:tcPr>
          <w:p w:rsidR="00656417" w:rsidRDefault="00656417" w:rsidP="00E02FC9"/>
        </w:tc>
      </w:tr>
      <w:tr w:rsidR="00656417" w:rsidTr="00E02FC9">
        <w:trPr>
          <w:trHeight w:val="552"/>
          <w:jc w:val="center"/>
        </w:trPr>
        <w:tc>
          <w:tcPr>
            <w:tcW w:w="1873" w:type="dxa"/>
          </w:tcPr>
          <w:p w:rsidR="00656417" w:rsidRDefault="00656417" w:rsidP="00E02FC9">
            <w:r>
              <w:t>Missing Number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13.0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21.0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8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12.0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20.0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8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14.0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20.0</w:t>
            </w:r>
          </w:p>
        </w:tc>
        <w:tc>
          <w:tcPr>
            <w:tcW w:w="1058" w:type="dxa"/>
          </w:tcPr>
          <w:p w:rsidR="00656417" w:rsidRPr="00E60A0D" w:rsidRDefault="00656417" w:rsidP="00E02FC9">
            <w:pPr>
              <w:jc w:val="center"/>
              <w:rPr>
                <w:highlight w:val="yellow"/>
              </w:rPr>
            </w:pPr>
            <w:r w:rsidRPr="00E60A0D">
              <w:rPr>
                <w:highlight w:val="yellow"/>
              </w:rPr>
              <w:t>6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>
              <w:t>13.0</w:t>
            </w:r>
          </w:p>
        </w:tc>
        <w:tc>
          <w:tcPr>
            <w:tcW w:w="1059" w:type="dxa"/>
          </w:tcPr>
          <w:p w:rsidR="00656417" w:rsidRDefault="00656417" w:rsidP="00E02FC9"/>
        </w:tc>
      </w:tr>
      <w:tr w:rsidR="00656417" w:rsidTr="00E02FC9">
        <w:trPr>
          <w:trHeight w:val="552"/>
          <w:jc w:val="center"/>
        </w:trPr>
        <w:tc>
          <w:tcPr>
            <w:tcW w:w="1873" w:type="dxa"/>
          </w:tcPr>
          <w:p w:rsidR="00656417" w:rsidRDefault="00656417" w:rsidP="00E02FC9">
            <w:r>
              <w:t>Mathematics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 w:rsidRPr="00814AB8">
              <w:rPr>
                <w:highlight w:val="yellow"/>
              </w:rPr>
              <w:t>3.0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 w:rsidRPr="00814AB8">
              <w:rPr>
                <w:highlight w:val="magenta"/>
              </w:rPr>
              <w:t>14.0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11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 w:rsidRPr="00814AB8">
              <w:rPr>
                <w:highlight w:val="yellow"/>
              </w:rPr>
              <w:t>14.0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 w:rsidRPr="00814AB8">
              <w:rPr>
                <w:highlight w:val="magenta"/>
              </w:rPr>
              <w:t>32.0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18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 w:rsidRPr="00814AB8">
              <w:rPr>
                <w:highlight w:val="yellow"/>
              </w:rPr>
              <w:t>16.0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 w:rsidRPr="00814AB8">
              <w:rPr>
                <w:highlight w:val="magenta"/>
              </w:rPr>
              <w:t>35.0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>19</w:t>
            </w:r>
          </w:p>
        </w:tc>
        <w:tc>
          <w:tcPr>
            <w:tcW w:w="1059" w:type="dxa"/>
          </w:tcPr>
          <w:p w:rsidR="00656417" w:rsidRDefault="00656417" w:rsidP="00E02FC9">
            <w:pPr>
              <w:jc w:val="center"/>
            </w:pPr>
            <w:r w:rsidRPr="00814AB8">
              <w:rPr>
                <w:highlight w:val="yellow"/>
              </w:rPr>
              <w:t>18.0</w:t>
            </w:r>
          </w:p>
        </w:tc>
        <w:tc>
          <w:tcPr>
            <w:tcW w:w="1059" w:type="dxa"/>
          </w:tcPr>
          <w:p w:rsidR="00656417" w:rsidRDefault="00656417" w:rsidP="00E02FC9"/>
        </w:tc>
      </w:tr>
    </w:tbl>
    <w:p w:rsidR="00656417" w:rsidRDefault="00656417" w:rsidP="00656417"/>
    <w:tbl>
      <w:tblPr>
        <w:tblStyle w:val="TableGrid"/>
        <w:tblW w:w="0" w:type="auto"/>
        <w:jc w:val="center"/>
        <w:tblInd w:w="-342" w:type="dxa"/>
        <w:tblLook w:val="04A0"/>
      </w:tblPr>
      <w:tblGrid>
        <w:gridCol w:w="1873"/>
        <w:gridCol w:w="1058"/>
        <w:gridCol w:w="1059"/>
        <w:gridCol w:w="1058"/>
        <w:gridCol w:w="1059"/>
        <w:gridCol w:w="1059"/>
        <w:gridCol w:w="1058"/>
        <w:gridCol w:w="1059"/>
        <w:gridCol w:w="1059"/>
        <w:gridCol w:w="1058"/>
        <w:gridCol w:w="1059"/>
        <w:gridCol w:w="1059"/>
      </w:tblGrid>
      <w:tr w:rsidR="00656417" w:rsidTr="00E02FC9">
        <w:trPr>
          <w:jc w:val="center"/>
        </w:trPr>
        <w:tc>
          <w:tcPr>
            <w:tcW w:w="13518" w:type="dxa"/>
            <w:gridSpan w:val="12"/>
          </w:tcPr>
          <w:p w:rsidR="00656417" w:rsidRPr="00327BF9" w:rsidRDefault="00656417" w:rsidP="00E02FC9">
            <w:pPr>
              <w:rPr>
                <w:sz w:val="36"/>
                <w:szCs w:val="36"/>
              </w:rPr>
            </w:pPr>
            <w:r w:rsidRPr="00327BF9">
              <w:rPr>
                <w:sz w:val="36"/>
                <w:szCs w:val="36"/>
              </w:rPr>
              <w:lastRenderedPageBreak/>
              <w:t xml:space="preserve">Jennings </w:t>
            </w:r>
            <w:proofErr w:type="spellStart"/>
            <w:r w:rsidRPr="00327BF9">
              <w:rPr>
                <w:sz w:val="36"/>
                <w:szCs w:val="36"/>
              </w:rPr>
              <w:t>AIMSweb</w:t>
            </w:r>
            <w:proofErr w:type="spellEnd"/>
            <w:r w:rsidRPr="00327BF9">
              <w:rPr>
                <w:sz w:val="36"/>
                <w:szCs w:val="36"/>
              </w:rPr>
              <w:t xml:space="preserve"> data- Grade 2</w:t>
            </w:r>
          </w:p>
        </w:tc>
      </w:tr>
      <w:tr w:rsidR="00656417" w:rsidTr="00E02FC9">
        <w:trPr>
          <w:jc w:val="center"/>
        </w:trPr>
        <w:tc>
          <w:tcPr>
            <w:tcW w:w="1873" w:type="dxa"/>
          </w:tcPr>
          <w:p w:rsidR="00656417" w:rsidRDefault="00656417" w:rsidP="00E02FC9"/>
        </w:tc>
        <w:tc>
          <w:tcPr>
            <w:tcW w:w="1058" w:type="dxa"/>
          </w:tcPr>
          <w:p w:rsidR="00656417" w:rsidRDefault="00656417" w:rsidP="00E02FC9">
            <w:r>
              <w:t>Fall Average</w:t>
            </w:r>
          </w:p>
          <w:p w:rsidR="00656417" w:rsidRDefault="00656417" w:rsidP="00E02FC9">
            <w:r>
              <w:t>2010</w:t>
            </w:r>
          </w:p>
        </w:tc>
        <w:tc>
          <w:tcPr>
            <w:tcW w:w="1059" w:type="dxa"/>
          </w:tcPr>
          <w:p w:rsidR="00656417" w:rsidRDefault="00656417" w:rsidP="00E02FC9">
            <w:r>
              <w:t>Spring Average</w:t>
            </w:r>
          </w:p>
          <w:p w:rsidR="00656417" w:rsidRDefault="00656417" w:rsidP="00E02FC9">
            <w:r>
              <w:t>2011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 xml:space="preserve">2010-2011 point </w:t>
            </w:r>
          </w:p>
          <w:p w:rsidR="00656417" w:rsidRDefault="00656417" w:rsidP="00E02FC9">
            <w:r>
              <w:t>growth</w:t>
            </w:r>
          </w:p>
        </w:tc>
        <w:tc>
          <w:tcPr>
            <w:tcW w:w="1059" w:type="dxa"/>
          </w:tcPr>
          <w:p w:rsidR="00656417" w:rsidRDefault="00656417" w:rsidP="00E02FC9">
            <w:r>
              <w:t>Fall Average</w:t>
            </w:r>
          </w:p>
          <w:p w:rsidR="00656417" w:rsidRDefault="00656417" w:rsidP="00E02FC9">
            <w:r>
              <w:t>2011</w:t>
            </w:r>
          </w:p>
        </w:tc>
        <w:tc>
          <w:tcPr>
            <w:tcW w:w="1059" w:type="dxa"/>
          </w:tcPr>
          <w:p w:rsidR="00656417" w:rsidRDefault="00656417" w:rsidP="00E02FC9">
            <w:r>
              <w:t>Spring Average</w:t>
            </w:r>
          </w:p>
          <w:p w:rsidR="00656417" w:rsidRDefault="00656417" w:rsidP="00E02FC9">
            <w:r>
              <w:t>2012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 xml:space="preserve">2011-2012 point </w:t>
            </w:r>
          </w:p>
          <w:p w:rsidR="00656417" w:rsidRDefault="00656417" w:rsidP="00E02FC9">
            <w:r>
              <w:t>growth</w:t>
            </w:r>
          </w:p>
        </w:tc>
        <w:tc>
          <w:tcPr>
            <w:tcW w:w="1059" w:type="dxa"/>
          </w:tcPr>
          <w:p w:rsidR="00656417" w:rsidRDefault="00656417" w:rsidP="00E02FC9">
            <w:r>
              <w:t>Fall Average</w:t>
            </w:r>
          </w:p>
          <w:p w:rsidR="00656417" w:rsidRDefault="00656417" w:rsidP="00E02FC9">
            <w:r>
              <w:t>2012</w:t>
            </w:r>
          </w:p>
        </w:tc>
        <w:tc>
          <w:tcPr>
            <w:tcW w:w="1059" w:type="dxa"/>
          </w:tcPr>
          <w:p w:rsidR="00656417" w:rsidRDefault="00656417" w:rsidP="00E02FC9">
            <w:r>
              <w:t>Spring Average</w:t>
            </w:r>
          </w:p>
          <w:p w:rsidR="00656417" w:rsidRDefault="00656417" w:rsidP="00E02FC9">
            <w:r>
              <w:t>2013</w:t>
            </w:r>
          </w:p>
        </w:tc>
        <w:tc>
          <w:tcPr>
            <w:tcW w:w="1058" w:type="dxa"/>
          </w:tcPr>
          <w:p w:rsidR="00656417" w:rsidRDefault="00656417" w:rsidP="00E02FC9">
            <w:pPr>
              <w:jc w:val="center"/>
            </w:pPr>
            <w:r>
              <w:t xml:space="preserve">2012-2013 point </w:t>
            </w:r>
          </w:p>
          <w:p w:rsidR="00656417" w:rsidRDefault="00656417" w:rsidP="00E02FC9">
            <w:r>
              <w:t>growth</w:t>
            </w:r>
          </w:p>
        </w:tc>
        <w:tc>
          <w:tcPr>
            <w:tcW w:w="1059" w:type="dxa"/>
          </w:tcPr>
          <w:p w:rsidR="00656417" w:rsidRDefault="00656417" w:rsidP="00E02FC9">
            <w:r>
              <w:t>Fall Average</w:t>
            </w:r>
          </w:p>
          <w:p w:rsidR="00656417" w:rsidRDefault="00656417" w:rsidP="00E02FC9">
            <w:r>
              <w:t>2013</w:t>
            </w:r>
          </w:p>
        </w:tc>
        <w:tc>
          <w:tcPr>
            <w:tcW w:w="1059" w:type="dxa"/>
          </w:tcPr>
          <w:p w:rsidR="00656417" w:rsidRDefault="00656417" w:rsidP="00E02FC9">
            <w:r>
              <w:t>Target</w:t>
            </w:r>
          </w:p>
        </w:tc>
      </w:tr>
      <w:tr w:rsidR="00656417" w:rsidTr="00E02FC9">
        <w:trPr>
          <w:trHeight w:val="552"/>
          <w:jc w:val="center"/>
        </w:trPr>
        <w:tc>
          <w:tcPr>
            <w:tcW w:w="1873" w:type="dxa"/>
          </w:tcPr>
          <w:p w:rsidR="00656417" w:rsidRDefault="00656417" w:rsidP="00E02FC9">
            <w:r>
              <w:t>M-COMP</w:t>
            </w:r>
          </w:p>
        </w:tc>
        <w:tc>
          <w:tcPr>
            <w:tcW w:w="1058" w:type="dxa"/>
          </w:tcPr>
          <w:p w:rsidR="00656417" w:rsidRDefault="00656417" w:rsidP="00E02FC9">
            <w:r>
              <w:t>13.0</w:t>
            </w:r>
          </w:p>
        </w:tc>
        <w:tc>
          <w:tcPr>
            <w:tcW w:w="1059" w:type="dxa"/>
          </w:tcPr>
          <w:p w:rsidR="00656417" w:rsidRDefault="00656417" w:rsidP="00E02FC9">
            <w:r>
              <w:t>32.0</w:t>
            </w:r>
          </w:p>
        </w:tc>
        <w:tc>
          <w:tcPr>
            <w:tcW w:w="1058" w:type="dxa"/>
          </w:tcPr>
          <w:p w:rsidR="00656417" w:rsidRPr="000C01B6" w:rsidRDefault="00656417" w:rsidP="00E02FC9">
            <w:pPr>
              <w:rPr>
                <w:highlight w:val="yellow"/>
              </w:rPr>
            </w:pPr>
            <w:r w:rsidRPr="000C01B6">
              <w:rPr>
                <w:highlight w:val="yellow"/>
              </w:rPr>
              <w:t>19</w:t>
            </w:r>
          </w:p>
        </w:tc>
        <w:tc>
          <w:tcPr>
            <w:tcW w:w="1059" w:type="dxa"/>
          </w:tcPr>
          <w:p w:rsidR="00656417" w:rsidRDefault="00656417" w:rsidP="00E02FC9">
            <w:r>
              <w:t>18.0</w:t>
            </w:r>
          </w:p>
        </w:tc>
        <w:tc>
          <w:tcPr>
            <w:tcW w:w="1059" w:type="dxa"/>
          </w:tcPr>
          <w:p w:rsidR="00656417" w:rsidRDefault="00656417" w:rsidP="00E02FC9">
            <w:r>
              <w:t>39.0</w:t>
            </w:r>
          </w:p>
        </w:tc>
        <w:tc>
          <w:tcPr>
            <w:tcW w:w="1058" w:type="dxa"/>
          </w:tcPr>
          <w:p w:rsidR="00656417" w:rsidRPr="000C01B6" w:rsidRDefault="00656417" w:rsidP="00E02FC9">
            <w:pPr>
              <w:rPr>
                <w:highlight w:val="yellow"/>
              </w:rPr>
            </w:pPr>
            <w:r w:rsidRPr="000C01B6">
              <w:rPr>
                <w:highlight w:val="yellow"/>
              </w:rPr>
              <w:t>18</w:t>
            </w:r>
          </w:p>
        </w:tc>
        <w:tc>
          <w:tcPr>
            <w:tcW w:w="1059" w:type="dxa"/>
          </w:tcPr>
          <w:p w:rsidR="00656417" w:rsidRDefault="00656417" w:rsidP="00E02FC9">
            <w:r>
              <w:t>25.0</w:t>
            </w:r>
          </w:p>
        </w:tc>
        <w:tc>
          <w:tcPr>
            <w:tcW w:w="1059" w:type="dxa"/>
          </w:tcPr>
          <w:p w:rsidR="00656417" w:rsidRDefault="00656417" w:rsidP="00E02FC9">
            <w:r>
              <w:t>37.0</w:t>
            </w:r>
          </w:p>
        </w:tc>
        <w:tc>
          <w:tcPr>
            <w:tcW w:w="1058" w:type="dxa"/>
          </w:tcPr>
          <w:p w:rsidR="00656417" w:rsidRPr="000C01B6" w:rsidRDefault="00656417" w:rsidP="00E02FC9">
            <w:pPr>
              <w:rPr>
                <w:highlight w:val="yellow"/>
              </w:rPr>
            </w:pPr>
            <w:r w:rsidRPr="000C01B6">
              <w:rPr>
                <w:highlight w:val="yellow"/>
              </w:rPr>
              <w:t>12</w:t>
            </w:r>
          </w:p>
        </w:tc>
        <w:tc>
          <w:tcPr>
            <w:tcW w:w="1059" w:type="dxa"/>
          </w:tcPr>
          <w:p w:rsidR="00656417" w:rsidRDefault="00656417" w:rsidP="00E02FC9">
            <w:r>
              <w:t>25.0</w:t>
            </w:r>
          </w:p>
        </w:tc>
        <w:tc>
          <w:tcPr>
            <w:tcW w:w="1059" w:type="dxa"/>
          </w:tcPr>
          <w:p w:rsidR="00656417" w:rsidRDefault="00656417" w:rsidP="00E02FC9"/>
        </w:tc>
      </w:tr>
      <w:tr w:rsidR="00656417" w:rsidTr="00E02FC9">
        <w:trPr>
          <w:trHeight w:val="552"/>
          <w:jc w:val="center"/>
        </w:trPr>
        <w:tc>
          <w:tcPr>
            <w:tcW w:w="1873" w:type="dxa"/>
          </w:tcPr>
          <w:p w:rsidR="00656417" w:rsidRDefault="00656417" w:rsidP="00E02FC9">
            <w:r>
              <w:t>M-CAP</w:t>
            </w:r>
          </w:p>
        </w:tc>
        <w:tc>
          <w:tcPr>
            <w:tcW w:w="1058" w:type="dxa"/>
          </w:tcPr>
          <w:p w:rsidR="00656417" w:rsidRDefault="00656417" w:rsidP="00E02FC9">
            <w:r>
              <w:t>10.0</w:t>
            </w:r>
          </w:p>
        </w:tc>
        <w:tc>
          <w:tcPr>
            <w:tcW w:w="1059" w:type="dxa"/>
          </w:tcPr>
          <w:p w:rsidR="00656417" w:rsidRDefault="00656417" w:rsidP="00E02FC9">
            <w:r>
              <w:t>26.0</w:t>
            </w:r>
          </w:p>
        </w:tc>
        <w:tc>
          <w:tcPr>
            <w:tcW w:w="1058" w:type="dxa"/>
          </w:tcPr>
          <w:p w:rsidR="00656417" w:rsidRPr="000C01B6" w:rsidRDefault="00656417" w:rsidP="00E02FC9">
            <w:pPr>
              <w:rPr>
                <w:highlight w:val="yellow"/>
              </w:rPr>
            </w:pPr>
            <w:r w:rsidRPr="000C01B6">
              <w:rPr>
                <w:highlight w:val="yellow"/>
              </w:rPr>
              <w:t>16</w:t>
            </w:r>
          </w:p>
        </w:tc>
        <w:tc>
          <w:tcPr>
            <w:tcW w:w="1059" w:type="dxa"/>
          </w:tcPr>
          <w:p w:rsidR="00656417" w:rsidRDefault="00656417" w:rsidP="00E02FC9">
            <w:r>
              <w:t>7.0</w:t>
            </w:r>
          </w:p>
        </w:tc>
        <w:tc>
          <w:tcPr>
            <w:tcW w:w="1059" w:type="dxa"/>
          </w:tcPr>
          <w:p w:rsidR="00656417" w:rsidRDefault="00656417" w:rsidP="00E02FC9">
            <w:r>
              <w:t>21.0</w:t>
            </w:r>
          </w:p>
        </w:tc>
        <w:tc>
          <w:tcPr>
            <w:tcW w:w="1058" w:type="dxa"/>
          </w:tcPr>
          <w:p w:rsidR="00656417" w:rsidRPr="000C01B6" w:rsidRDefault="00656417" w:rsidP="00E02FC9">
            <w:pPr>
              <w:rPr>
                <w:highlight w:val="yellow"/>
              </w:rPr>
            </w:pPr>
            <w:r w:rsidRPr="000C01B6">
              <w:rPr>
                <w:highlight w:val="yellow"/>
              </w:rPr>
              <w:t>14</w:t>
            </w:r>
          </w:p>
        </w:tc>
        <w:tc>
          <w:tcPr>
            <w:tcW w:w="1059" w:type="dxa"/>
          </w:tcPr>
          <w:p w:rsidR="00656417" w:rsidRDefault="00656417" w:rsidP="00E02FC9">
            <w:r>
              <w:t>9.0</w:t>
            </w:r>
          </w:p>
        </w:tc>
        <w:tc>
          <w:tcPr>
            <w:tcW w:w="1059" w:type="dxa"/>
          </w:tcPr>
          <w:p w:rsidR="00656417" w:rsidRDefault="00656417" w:rsidP="00E02FC9">
            <w:r>
              <w:t>21.0</w:t>
            </w:r>
          </w:p>
        </w:tc>
        <w:tc>
          <w:tcPr>
            <w:tcW w:w="1058" w:type="dxa"/>
          </w:tcPr>
          <w:p w:rsidR="00656417" w:rsidRPr="000C01B6" w:rsidRDefault="00656417" w:rsidP="00E02FC9">
            <w:pPr>
              <w:rPr>
                <w:highlight w:val="yellow"/>
              </w:rPr>
            </w:pPr>
            <w:r w:rsidRPr="000C01B6">
              <w:rPr>
                <w:highlight w:val="yellow"/>
              </w:rPr>
              <w:t>12</w:t>
            </w:r>
          </w:p>
        </w:tc>
        <w:tc>
          <w:tcPr>
            <w:tcW w:w="1059" w:type="dxa"/>
          </w:tcPr>
          <w:p w:rsidR="00656417" w:rsidRDefault="00656417" w:rsidP="00E02FC9">
            <w:r>
              <w:t>9.0</w:t>
            </w:r>
          </w:p>
        </w:tc>
        <w:tc>
          <w:tcPr>
            <w:tcW w:w="1059" w:type="dxa"/>
          </w:tcPr>
          <w:p w:rsidR="00656417" w:rsidRDefault="00656417" w:rsidP="00E02FC9"/>
        </w:tc>
      </w:tr>
    </w:tbl>
    <w:p w:rsidR="00656417" w:rsidRDefault="00656417" w:rsidP="00656417"/>
    <w:tbl>
      <w:tblPr>
        <w:tblStyle w:val="TableGrid5"/>
        <w:tblW w:w="0" w:type="auto"/>
        <w:jc w:val="center"/>
        <w:tblLayout w:type="fixed"/>
        <w:tblLook w:val="04A0"/>
      </w:tblPr>
      <w:tblGrid>
        <w:gridCol w:w="1588"/>
        <w:gridCol w:w="1589"/>
        <w:gridCol w:w="1588"/>
        <w:gridCol w:w="1589"/>
        <w:gridCol w:w="1588"/>
        <w:gridCol w:w="1589"/>
        <w:gridCol w:w="1588"/>
        <w:gridCol w:w="1589"/>
      </w:tblGrid>
      <w:tr w:rsidR="00656417" w:rsidRPr="00627E9B" w:rsidTr="00E02FC9">
        <w:trPr>
          <w:trHeight w:val="393"/>
          <w:jc w:val="center"/>
        </w:trPr>
        <w:tc>
          <w:tcPr>
            <w:tcW w:w="12708" w:type="dxa"/>
            <w:gridSpan w:val="8"/>
          </w:tcPr>
          <w:p w:rsidR="00656417" w:rsidRPr="00627E9B" w:rsidRDefault="00656417" w:rsidP="00E02FC9">
            <w:pPr>
              <w:tabs>
                <w:tab w:val="left" w:pos="114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27E9B">
              <w:rPr>
                <w:rFonts w:ascii="Times New Roman" w:hAnsi="Times New Roman" w:cs="Times New Roman"/>
                <w:sz w:val="36"/>
                <w:szCs w:val="36"/>
              </w:rPr>
              <w:t>Jennings School Blue Ribbon Data-Grades 3, 4, and 5</w:t>
            </w:r>
            <w:r w:rsidRPr="00627E9B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  <w:tr w:rsidR="00656417" w:rsidRPr="00627E9B" w:rsidTr="00E02FC9">
        <w:trPr>
          <w:trHeight w:val="393"/>
          <w:jc w:val="center"/>
        </w:trPr>
        <w:tc>
          <w:tcPr>
            <w:tcW w:w="12708" w:type="dxa"/>
            <w:gridSpan w:val="8"/>
          </w:tcPr>
          <w:p w:rsidR="00656417" w:rsidRPr="00627E9B" w:rsidRDefault="00656417" w:rsidP="00E02FC9">
            <w:pPr>
              <w:tabs>
                <w:tab w:val="left" w:pos="114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27E9B">
              <w:rPr>
                <w:rFonts w:ascii="Times New Roman" w:hAnsi="Times New Roman" w:cs="Times New Roman"/>
                <w:sz w:val="32"/>
                <w:szCs w:val="32"/>
              </w:rPr>
              <w:t>Students At or Above Goal 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7E9B">
              <w:rPr>
                <w:rFonts w:ascii="Times New Roman" w:hAnsi="Times New Roman" w:cs="Times New Roman"/>
                <w:sz w:val="32"/>
                <w:szCs w:val="32"/>
              </w:rPr>
              <w:t>At or above goal = 65% or higher on test</w:t>
            </w:r>
          </w:p>
        </w:tc>
      </w:tr>
      <w:tr w:rsidR="00656417" w:rsidRPr="00627E9B" w:rsidTr="00E02FC9">
        <w:trPr>
          <w:trHeight w:val="393"/>
          <w:jc w:val="center"/>
        </w:trPr>
        <w:tc>
          <w:tcPr>
            <w:tcW w:w="12708" w:type="dxa"/>
            <w:gridSpan w:val="8"/>
          </w:tcPr>
          <w:p w:rsidR="00656417" w:rsidRPr="00627E9B" w:rsidRDefault="00656417" w:rsidP="00E02FC9">
            <w:pPr>
              <w:tabs>
                <w:tab w:val="left" w:pos="114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417" w:rsidRPr="00627E9B" w:rsidTr="00E02FC9">
        <w:trPr>
          <w:trHeight w:val="519"/>
          <w:jc w:val="center"/>
        </w:trPr>
        <w:tc>
          <w:tcPr>
            <w:tcW w:w="1588" w:type="dxa"/>
          </w:tcPr>
          <w:p w:rsidR="00656417" w:rsidRPr="00627E9B" w:rsidRDefault="00656417" w:rsidP="00E02F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Fall 2011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Spring 2012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Point Gain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Fall 2012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Spring 2013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Point Gain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Fall 2013</w:t>
            </w:r>
          </w:p>
        </w:tc>
      </w:tr>
      <w:tr w:rsidR="00656417" w:rsidRPr="00627E9B" w:rsidTr="00E02FC9">
        <w:trPr>
          <w:trHeight w:val="283"/>
          <w:jc w:val="center"/>
        </w:trPr>
        <w:tc>
          <w:tcPr>
            <w:tcW w:w="1588" w:type="dxa"/>
          </w:tcPr>
          <w:p w:rsidR="00656417" w:rsidRPr="00627E9B" w:rsidRDefault="00656417" w:rsidP="00E02FC9">
            <w:pPr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Grade 3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+32% point gain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+24% point gain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656417" w:rsidRPr="00627E9B" w:rsidTr="00E02FC9">
        <w:trPr>
          <w:trHeight w:val="283"/>
          <w:jc w:val="center"/>
        </w:trPr>
        <w:tc>
          <w:tcPr>
            <w:tcW w:w="1588" w:type="dxa"/>
          </w:tcPr>
          <w:p w:rsidR="00656417" w:rsidRPr="00627E9B" w:rsidRDefault="00656417" w:rsidP="00E02FC9">
            <w:pPr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Grade 4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+37% point gain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+29% point gain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56417" w:rsidRPr="00627E9B" w:rsidTr="00E02FC9">
        <w:trPr>
          <w:trHeight w:val="299"/>
          <w:jc w:val="center"/>
        </w:trPr>
        <w:tc>
          <w:tcPr>
            <w:tcW w:w="1588" w:type="dxa"/>
          </w:tcPr>
          <w:p w:rsidR="00656417" w:rsidRPr="00627E9B" w:rsidRDefault="00656417" w:rsidP="00E02FC9">
            <w:pPr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Grade 5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+44% point gain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88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+38% point gain</w:t>
            </w:r>
          </w:p>
        </w:tc>
        <w:tc>
          <w:tcPr>
            <w:tcW w:w="1589" w:type="dxa"/>
          </w:tcPr>
          <w:p w:rsidR="00656417" w:rsidRPr="00627E9B" w:rsidRDefault="00656417" w:rsidP="00E0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656417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Pr="00627E9B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Pr="00627E9B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656417" w:rsidRPr="00627E9B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Style w:val="TableGrid5"/>
        <w:tblW w:w="0" w:type="auto"/>
        <w:jc w:val="center"/>
        <w:tblLook w:val="04A0"/>
      </w:tblPr>
      <w:tblGrid>
        <w:gridCol w:w="1221"/>
        <w:gridCol w:w="1222"/>
        <w:gridCol w:w="1221"/>
        <w:gridCol w:w="1222"/>
        <w:gridCol w:w="1222"/>
        <w:gridCol w:w="1221"/>
        <w:gridCol w:w="1222"/>
        <w:gridCol w:w="2087"/>
        <w:gridCol w:w="1170"/>
      </w:tblGrid>
      <w:tr w:rsidR="00656417" w:rsidRPr="00627E9B" w:rsidTr="00E02FC9">
        <w:trPr>
          <w:jc w:val="center"/>
        </w:trPr>
        <w:tc>
          <w:tcPr>
            <w:tcW w:w="11808" w:type="dxa"/>
            <w:gridSpan w:val="9"/>
          </w:tcPr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lastRenderedPageBreak/>
              <w:t xml:space="preserve">Jennings School </w:t>
            </w:r>
          </w:p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Blue Ribbon-Integrated Understanding</w:t>
            </w:r>
          </w:p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Percent Average</w:t>
            </w:r>
          </w:p>
        </w:tc>
      </w:tr>
      <w:tr w:rsidR="00656417" w:rsidRPr="00627E9B" w:rsidTr="00E02FC9">
        <w:trPr>
          <w:jc w:val="center"/>
        </w:trPr>
        <w:tc>
          <w:tcPr>
            <w:tcW w:w="1221" w:type="dxa"/>
          </w:tcPr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Fall 2011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Spring 2012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Growth</w:t>
            </w:r>
          </w:p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Fall 2012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Spring 2013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Growth</w:t>
            </w:r>
          </w:p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</w:rPr>
              <w:t>Spring 2012- Spring 2013</w:t>
            </w:r>
          </w:p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</w:rPr>
              <w:t>Jennings</w:t>
            </w:r>
          </w:p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</w:rPr>
              <w:t>Point Gain</w:t>
            </w:r>
          </w:p>
        </w:tc>
        <w:tc>
          <w:tcPr>
            <w:tcW w:w="1170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Fall 2013</w:t>
            </w:r>
          </w:p>
        </w:tc>
      </w:tr>
      <w:tr w:rsidR="00656417" w:rsidRPr="00627E9B" w:rsidTr="00E02FC9">
        <w:trPr>
          <w:jc w:val="center"/>
        </w:trPr>
        <w:tc>
          <w:tcPr>
            <w:tcW w:w="1221" w:type="dxa"/>
          </w:tcPr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Grade 3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67%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+23% point gain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71%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+31% point gain</w:t>
            </w:r>
          </w:p>
        </w:tc>
        <w:tc>
          <w:tcPr>
            <w:tcW w:w="2087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+4% point gain</w:t>
            </w:r>
          </w:p>
        </w:tc>
        <w:tc>
          <w:tcPr>
            <w:tcW w:w="1170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28%</w:t>
            </w:r>
          </w:p>
        </w:tc>
      </w:tr>
      <w:tr w:rsidR="00656417" w:rsidRPr="00627E9B" w:rsidTr="00E02FC9">
        <w:trPr>
          <w:jc w:val="center"/>
        </w:trPr>
        <w:tc>
          <w:tcPr>
            <w:tcW w:w="1221" w:type="dxa"/>
          </w:tcPr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Grade 4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46%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66%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+20% point gain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47%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72%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+25% point gain</w:t>
            </w:r>
          </w:p>
        </w:tc>
        <w:tc>
          <w:tcPr>
            <w:tcW w:w="2087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+6% point gain</w:t>
            </w:r>
          </w:p>
        </w:tc>
        <w:tc>
          <w:tcPr>
            <w:tcW w:w="1170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45%</w:t>
            </w:r>
          </w:p>
        </w:tc>
      </w:tr>
      <w:tr w:rsidR="00656417" w:rsidRPr="00627E9B" w:rsidTr="00E02FC9">
        <w:trPr>
          <w:jc w:val="center"/>
        </w:trPr>
        <w:tc>
          <w:tcPr>
            <w:tcW w:w="1221" w:type="dxa"/>
          </w:tcPr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Grade 5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58%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77%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+19% point gain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48%</w:t>
            </w:r>
          </w:p>
        </w:tc>
        <w:tc>
          <w:tcPr>
            <w:tcW w:w="1221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88%</w:t>
            </w:r>
          </w:p>
        </w:tc>
        <w:tc>
          <w:tcPr>
            <w:tcW w:w="1222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+40% point gain</w:t>
            </w:r>
          </w:p>
        </w:tc>
        <w:tc>
          <w:tcPr>
            <w:tcW w:w="2087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27E9B">
              <w:rPr>
                <w:rFonts w:ascii="Times New Roman" w:hAnsi="Times New Roman" w:cs="Times New Roman"/>
                <w:sz w:val="24"/>
                <w:highlight w:val="yellow"/>
              </w:rPr>
              <w:t>+10% point gain</w:t>
            </w:r>
          </w:p>
        </w:tc>
        <w:tc>
          <w:tcPr>
            <w:tcW w:w="1170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</w:tbl>
    <w:p w:rsidR="00656417" w:rsidRPr="00627E9B" w:rsidRDefault="00656417" w:rsidP="0065641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656417" w:rsidRPr="00627E9B" w:rsidRDefault="00656417" w:rsidP="006564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Style w:val="TableGrid5"/>
        <w:tblW w:w="0" w:type="auto"/>
        <w:jc w:val="center"/>
        <w:tblLook w:val="04A0"/>
      </w:tblPr>
      <w:tblGrid>
        <w:gridCol w:w="2076"/>
        <w:gridCol w:w="2076"/>
        <w:gridCol w:w="2076"/>
        <w:gridCol w:w="2076"/>
        <w:gridCol w:w="2076"/>
        <w:gridCol w:w="2076"/>
      </w:tblGrid>
      <w:tr w:rsidR="00656417" w:rsidRPr="00627E9B" w:rsidTr="00E02FC9">
        <w:trPr>
          <w:jc w:val="center"/>
        </w:trPr>
        <w:tc>
          <w:tcPr>
            <w:tcW w:w="12456" w:type="dxa"/>
            <w:gridSpan w:val="6"/>
          </w:tcPr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E9B">
              <w:rPr>
                <w:rFonts w:ascii="Times New Roman" w:hAnsi="Times New Roman" w:cs="Times New Roman"/>
                <w:sz w:val="28"/>
                <w:szCs w:val="28"/>
              </w:rPr>
              <w:t>Blue Ribbon Testing for</w:t>
            </w:r>
          </w:p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E9B">
              <w:rPr>
                <w:rFonts w:ascii="Times New Roman" w:hAnsi="Times New Roman" w:cs="Times New Roman"/>
                <w:sz w:val="28"/>
                <w:szCs w:val="28"/>
              </w:rPr>
              <w:t>Current Grade 5 Students</w:t>
            </w:r>
          </w:p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Percentage of Students At or above Goal</w:t>
            </w:r>
          </w:p>
        </w:tc>
      </w:tr>
      <w:tr w:rsidR="00656417" w:rsidRPr="00627E9B" w:rsidTr="00E02FC9">
        <w:trPr>
          <w:jc w:val="center"/>
        </w:trPr>
        <w:tc>
          <w:tcPr>
            <w:tcW w:w="2076" w:type="dxa"/>
          </w:tcPr>
          <w:p w:rsidR="00656417" w:rsidRPr="00627E9B" w:rsidRDefault="00656417" w:rsidP="00E02FC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Fall 2011 (</w:t>
            </w:r>
            <w:proofErr w:type="spellStart"/>
            <w:r w:rsidRPr="00627E9B">
              <w:rPr>
                <w:rFonts w:ascii="Times New Roman" w:hAnsi="Times New Roman" w:cs="Times New Roman"/>
                <w:sz w:val="24"/>
              </w:rPr>
              <w:t>gr</w:t>
            </w:r>
            <w:proofErr w:type="spellEnd"/>
            <w:r w:rsidRPr="00627E9B">
              <w:rPr>
                <w:rFonts w:ascii="Times New Roman" w:hAnsi="Times New Roman" w:cs="Times New Roman"/>
                <w:sz w:val="24"/>
              </w:rPr>
              <w:t xml:space="preserve"> 3)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Spring 2012 (</w:t>
            </w:r>
            <w:proofErr w:type="spellStart"/>
            <w:r w:rsidRPr="00627E9B">
              <w:rPr>
                <w:rFonts w:ascii="Times New Roman" w:hAnsi="Times New Roman" w:cs="Times New Roman"/>
                <w:sz w:val="24"/>
              </w:rPr>
              <w:t>gr</w:t>
            </w:r>
            <w:proofErr w:type="spellEnd"/>
            <w:r w:rsidRPr="00627E9B">
              <w:rPr>
                <w:rFonts w:ascii="Times New Roman" w:hAnsi="Times New Roman" w:cs="Times New Roman"/>
                <w:sz w:val="24"/>
              </w:rPr>
              <w:t xml:space="preserve"> 3)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Fall 2012 (</w:t>
            </w:r>
            <w:proofErr w:type="spellStart"/>
            <w:r w:rsidRPr="00627E9B">
              <w:rPr>
                <w:rFonts w:ascii="Times New Roman" w:hAnsi="Times New Roman" w:cs="Times New Roman"/>
                <w:sz w:val="24"/>
              </w:rPr>
              <w:t>gr</w:t>
            </w:r>
            <w:proofErr w:type="spellEnd"/>
            <w:r w:rsidRPr="00627E9B">
              <w:rPr>
                <w:rFonts w:ascii="Times New Roman" w:hAnsi="Times New Roman" w:cs="Times New Roman"/>
                <w:sz w:val="24"/>
              </w:rPr>
              <w:t xml:space="preserve"> 4)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Spring 2013 (</w:t>
            </w:r>
            <w:proofErr w:type="spellStart"/>
            <w:r w:rsidRPr="00627E9B">
              <w:rPr>
                <w:rFonts w:ascii="Times New Roman" w:hAnsi="Times New Roman" w:cs="Times New Roman"/>
                <w:sz w:val="24"/>
              </w:rPr>
              <w:t>gr</w:t>
            </w:r>
            <w:proofErr w:type="spellEnd"/>
            <w:r w:rsidRPr="00627E9B">
              <w:rPr>
                <w:rFonts w:ascii="Times New Roman" w:hAnsi="Times New Roman" w:cs="Times New Roman"/>
                <w:sz w:val="24"/>
              </w:rPr>
              <w:t xml:space="preserve"> 4)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Fall 2013 (</w:t>
            </w:r>
            <w:proofErr w:type="spellStart"/>
            <w:r w:rsidRPr="00627E9B">
              <w:rPr>
                <w:rFonts w:ascii="Times New Roman" w:hAnsi="Times New Roman" w:cs="Times New Roman"/>
                <w:sz w:val="24"/>
              </w:rPr>
              <w:t>gr</w:t>
            </w:r>
            <w:proofErr w:type="spellEnd"/>
            <w:r w:rsidRPr="00627E9B">
              <w:rPr>
                <w:rFonts w:ascii="Times New Roman" w:hAnsi="Times New Roman" w:cs="Times New Roman"/>
                <w:sz w:val="24"/>
              </w:rPr>
              <w:t xml:space="preserve"> 5)</w:t>
            </w:r>
          </w:p>
        </w:tc>
      </w:tr>
      <w:tr w:rsidR="00656417" w:rsidRPr="00627E9B" w:rsidTr="00E02FC9">
        <w:trPr>
          <w:jc w:val="center"/>
        </w:trPr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Blue Ribbon Testing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076" w:type="dxa"/>
          </w:tcPr>
          <w:p w:rsidR="00656417" w:rsidRPr="00627E9B" w:rsidRDefault="00656417" w:rsidP="00E02FC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7E9B">
              <w:rPr>
                <w:rFonts w:ascii="Times New Roman" w:hAnsi="Times New Roman" w:cs="Times New Roman"/>
                <w:sz w:val="24"/>
              </w:rPr>
              <w:t>65%</w:t>
            </w:r>
          </w:p>
        </w:tc>
      </w:tr>
    </w:tbl>
    <w:p w:rsidR="00656417" w:rsidRDefault="00656417" w:rsidP="00656417">
      <w:pPr>
        <w:rPr>
          <w:sz w:val="36"/>
          <w:szCs w:val="36"/>
        </w:rPr>
      </w:pPr>
      <w:r w:rsidRPr="00B82962">
        <w:rPr>
          <w:sz w:val="36"/>
          <w:szCs w:val="36"/>
        </w:rPr>
        <w:t>CMT Analysis Data</w:t>
      </w:r>
      <w:r>
        <w:rPr>
          <w:sz w:val="36"/>
          <w:szCs w:val="36"/>
        </w:rPr>
        <w:t xml:space="preserve"> (click on link to document) </w:t>
      </w:r>
      <w:hyperlink r:id="rId7" w:history="1">
        <w:r w:rsidRPr="00AD1CD0">
          <w:rPr>
            <w:rStyle w:val="Hyperlink"/>
            <w:sz w:val="36"/>
            <w:szCs w:val="36"/>
          </w:rPr>
          <w:t>H:\CMT 201</w:t>
        </w:r>
        <w:r w:rsidRPr="00AD1CD0">
          <w:rPr>
            <w:rStyle w:val="Hyperlink"/>
            <w:sz w:val="36"/>
            <w:szCs w:val="36"/>
          </w:rPr>
          <w:t>3</w:t>
        </w:r>
        <w:r w:rsidRPr="00AD1CD0">
          <w:rPr>
            <w:rStyle w:val="Hyperlink"/>
            <w:sz w:val="36"/>
            <w:szCs w:val="36"/>
          </w:rPr>
          <w:t>\2013 CMT Analysis\Jennings CMT Analysis 2013 all strands.pdf</w:t>
        </w:r>
      </w:hyperlink>
      <w:r>
        <w:rPr>
          <w:sz w:val="36"/>
          <w:szCs w:val="36"/>
        </w:rPr>
        <w:t xml:space="preserve"> </w:t>
      </w:r>
    </w:p>
    <w:p w:rsidR="00656417" w:rsidRPr="00656417" w:rsidRDefault="00656417" w:rsidP="00656417">
      <w:pPr>
        <w:rPr>
          <w:sz w:val="36"/>
          <w:szCs w:val="36"/>
        </w:rPr>
      </w:pPr>
      <w:r w:rsidRPr="006C1E48">
        <w:rPr>
          <w:rFonts w:ascii="Calibri" w:eastAsia="Helvetica" w:hAnsi="Calibri" w:cs="Calibri"/>
          <w:color w:val="000000"/>
          <w:sz w:val="24"/>
          <w:szCs w:val="24"/>
          <w:u w:val="single"/>
        </w:rPr>
        <w:t>Student Data and School ac</w:t>
      </w:r>
      <w:r>
        <w:rPr>
          <w:rFonts w:ascii="Calibri" w:eastAsia="Helvetica" w:hAnsi="Calibri" w:cs="Calibri"/>
          <w:color w:val="000000"/>
          <w:sz w:val="24"/>
          <w:szCs w:val="24"/>
          <w:u w:val="single"/>
        </w:rPr>
        <w:t>hievement targets for June 2014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82% of Kindergarten students will reach benchmark by June 2013 as measured by DRA (Data obtained from 3 year trend)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87% of Grade 1 students will reach benchmark by June 2013 as measured by DRA (2013 Baseline is 74%)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88% of Grade 2 students will reach benchmark by June 2013 as measured by DRA (2013 Baseline is 83%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 xml:space="preserve">K-2 will continue increase in similar areas on </w:t>
      </w:r>
      <w:proofErr w:type="spellStart"/>
      <w:r>
        <w:rPr>
          <w:rFonts w:ascii="Calibri" w:eastAsia="Helvetica" w:hAnsi="Calibri" w:cs="Calibri"/>
          <w:color w:val="000000"/>
          <w:sz w:val="24"/>
          <w:szCs w:val="24"/>
        </w:rPr>
        <w:t>Aimsweb</w:t>
      </w:r>
      <w:proofErr w:type="spellEnd"/>
      <w:r>
        <w:rPr>
          <w:rFonts w:ascii="Calibri" w:eastAsia="Helvetica" w:hAnsi="Calibri" w:cs="Calibri"/>
          <w:color w:val="000000"/>
          <w:sz w:val="24"/>
          <w:szCs w:val="24"/>
        </w:rPr>
        <w:t xml:space="preserve"> measures documented above</w:t>
      </w:r>
    </w:p>
    <w:p w:rsidR="00656417" w:rsidRP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>
        <w:rPr>
          <w:rFonts w:ascii="Calibri" w:eastAsia="Helvetica" w:hAnsi="Calibri" w:cs="Calibri"/>
          <w:color w:val="000000"/>
          <w:sz w:val="24"/>
          <w:szCs w:val="24"/>
        </w:rPr>
        <w:t>91% of Grades 3-5 students will reach goal by June 2014 as measured by Blue Ribbon Universal Screen (2013 baseline 71%</w:t>
      </w:r>
    </w:p>
    <w:p w:rsidR="00656417" w:rsidRPr="006C1E48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bookmarkStart w:id="0" w:name="_GoBack"/>
      <w:bookmarkEnd w:id="0"/>
      <w:r w:rsidRPr="006C1E48">
        <w:rPr>
          <w:rFonts w:ascii="Calibri" w:eastAsia="Helvetica" w:hAnsi="Calibri" w:cs="Calibri"/>
          <w:color w:val="000000"/>
          <w:sz w:val="24"/>
          <w:szCs w:val="24"/>
          <w:u w:val="single"/>
        </w:rPr>
        <w:lastRenderedPageBreak/>
        <w:t>Problem of Practice</w:t>
      </w:r>
    </w:p>
    <w:p w:rsidR="00656417" w:rsidRPr="001E5C3D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  <w:r w:rsidRPr="006C1E48">
        <w:rPr>
          <w:rFonts w:ascii="Calibri" w:eastAsia="Helvetica" w:hAnsi="Calibri" w:cs="Calibri"/>
          <w:i/>
          <w:color w:val="000000"/>
          <w:sz w:val="24"/>
          <w:szCs w:val="24"/>
        </w:rPr>
        <w:t xml:space="preserve">Based on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student achievement data and on-going formative assessments</w:t>
      </w:r>
      <w:r w:rsidRPr="006C1E48">
        <w:rPr>
          <w:rFonts w:ascii="Calibri" w:eastAsia="Helvetica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students will engage in differentiated curriculum tasks that are open-ended and rigorous through whole group, small group and individual instruction.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  <w:r>
        <w:rPr>
          <w:rFonts w:ascii="Calibri" w:eastAsia="Helvetica" w:hAnsi="Calibri" w:cs="Calibri"/>
          <w:color w:val="000000"/>
          <w:sz w:val="24"/>
          <w:szCs w:val="24"/>
          <w:u w:val="single"/>
        </w:rPr>
        <w:t>School-wide Focused Strategy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color w:val="000000"/>
          <w:sz w:val="24"/>
          <w:szCs w:val="24"/>
          <w:u w:val="single"/>
        </w:rPr>
      </w:pPr>
    </w:p>
    <w:p w:rsidR="00656417" w:rsidRDefault="00656417" w:rsidP="00656417">
      <w:pPr>
        <w:contextualSpacing/>
        <w:rPr>
          <w:i/>
          <w:sz w:val="24"/>
          <w:szCs w:val="24"/>
        </w:rPr>
      </w:pP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If we plan, implement, and adjust for rigorous curriculum tasks that are open-ended and differentiated, </w:t>
      </w:r>
      <w:r w:rsidRPr="00747920">
        <w:rPr>
          <w:i/>
          <w:sz w:val="24"/>
          <w:szCs w:val="24"/>
        </w:rPr>
        <w:t>the</w:t>
      </w:r>
      <w:r>
        <w:rPr>
          <w:i/>
          <w:sz w:val="24"/>
          <w:szCs w:val="24"/>
        </w:rPr>
        <w:t>n</w:t>
      </w:r>
      <w:r w:rsidRPr="007479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percentage of students meeting or exceeding the </w:t>
      </w:r>
      <w:r w:rsidRPr="00747920">
        <w:rPr>
          <w:i/>
          <w:sz w:val="24"/>
          <w:szCs w:val="24"/>
        </w:rPr>
        <w:t>school achievement targets for June 2014</w:t>
      </w:r>
      <w:r>
        <w:rPr>
          <w:i/>
          <w:sz w:val="24"/>
          <w:szCs w:val="24"/>
        </w:rPr>
        <w:t xml:space="preserve"> will increase</w:t>
      </w:r>
      <w:r w:rsidRPr="00747920">
        <w:rPr>
          <w:i/>
          <w:sz w:val="24"/>
          <w:szCs w:val="24"/>
        </w:rPr>
        <w:t>, as listed on the School Improvement Plan.</w:t>
      </w:r>
      <w:r>
        <w:rPr>
          <w:i/>
          <w:sz w:val="24"/>
          <w:szCs w:val="24"/>
        </w:rPr>
        <w:t xml:space="preserve"> </w:t>
      </w:r>
    </w:p>
    <w:p w:rsidR="00656417" w:rsidRPr="00656417" w:rsidRDefault="00656417" w:rsidP="00656417">
      <w:pPr>
        <w:contextualSpacing/>
        <w:rPr>
          <w:i/>
          <w:sz w:val="24"/>
          <w:szCs w:val="24"/>
        </w:rPr>
      </w:pPr>
    </w:p>
    <w:p w:rsidR="00656417" w:rsidRPr="006C1E48" w:rsidRDefault="00656417" w:rsidP="00656417">
      <w:pPr>
        <w:spacing w:after="0" w:line="240" w:lineRule="auto"/>
        <w:outlineLvl w:val="0"/>
        <w:rPr>
          <w:rFonts w:ascii="Calibri" w:eastAsia="ヒラギノ角ゴ Pro W3" w:hAnsi="Calibri" w:cs="Calibri"/>
          <w:color w:val="000000"/>
          <w:sz w:val="24"/>
          <w:szCs w:val="24"/>
          <w:u w:val="single"/>
        </w:rPr>
      </w:pPr>
      <w:r w:rsidRPr="006C1E48">
        <w:rPr>
          <w:rFonts w:ascii="Calibri" w:eastAsia="Helvetica" w:hAnsi="Calibri" w:cs="Calibri"/>
          <w:color w:val="000000"/>
          <w:sz w:val="24"/>
          <w:szCs w:val="24"/>
          <w:u w:val="single"/>
        </w:rPr>
        <w:t>Theory of Action Underlying This Plan</w:t>
      </w:r>
    </w:p>
    <w:p w:rsidR="00656417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If we 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create a level of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professional development support for and 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>within staff to assist teachers in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 practice and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 p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edagogy around rigor and questioning techniques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, then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teaching and learning will improve and 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>student achievement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 will increase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>.</w:t>
      </w:r>
    </w:p>
    <w:p w:rsidR="00656417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Pr="001E5C3D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  <w:r>
        <w:rPr>
          <w:rFonts w:ascii="Calibri" w:eastAsia="Helvetica" w:hAnsi="Calibri" w:cs="Calibri"/>
          <w:i/>
          <w:color w:val="000000"/>
          <w:sz w:val="24"/>
          <w:szCs w:val="24"/>
        </w:rPr>
        <w:t>If we teach, reinforce and value perseverance, students will be better equipped to handle more complex tasks and student achievement will increase.</w:t>
      </w:r>
    </w:p>
    <w:p w:rsidR="00656417" w:rsidRPr="001E5C3D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Pr="001E5C3D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>If we effectively monitor data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 trends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through school and grade level data teams, then we will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 identify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and replicate 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successful instructional strategies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that improve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 student achievement.</w:t>
      </w:r>
    </w:p>
    <w:p w:rsidR="00656417" w:rsidRPr="001E5C3D" w:rsidRDefault="00656417" w:rsidP="00656417">
      <w:pPr>
        <w:spacing w:after="0" w:line="240" w:lineRule="auto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If we foster and sustain 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a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collegial school culture,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student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academic, social and emotional growth will benefit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, then staff will be better equipped to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utilize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 xml:space="preserve"> best practices and student achievement will </w:t>
      </w:r>
      <w:r>
        <w:rPr>
          <w:rFonts w:ascii="Calibri" w:eastAsia="Helvetica" w:hAnsi="Calibri" w:cs="Calibri"/>
          <w:i/>
          <w:color w:val="000000"/>
          <w:sz w:val="24"/>
          <w:szCs w:val="24"/>
        </w:rPr>
        <w:t>improve</w:t>
      </w:r>
      <w:r w:rsidRPr="001E5C3D">
        <w:rPr>
          <w:rFonts w:ascii="Calibri" w:eastAsia="Helvetica" w:hAnsi="Calibri" w:cs="Calibri"/>
          <w:i/>
          <w:color w:val="000000"/>
          <w:sz w:val="24"/>
          <w:szCs w:val="24"/>
        </w:rPr>
        <w:t>.</w:t>
      </w:r>
    </w:p>
    <w:p w:rsidR="00656417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  <w:r>
        <w:rPr>
          <w:rFonts w:ascii="Calibri" w:eastAsia="Helvetica" w:hAnsi="Calibri" w:cs="Calibri"/>
          <w:i/>
          <w:color w:val="000000"/>
          <w:sz w:val="24"/>
          <w:szCs w:val="24"/>
        </w:rPr>
        <w:t xml:space="preserve">If we plan effective questions and student tasks consistent with Webb’s DOK (Depth of Knowledge) and Bloom’s levels 4 (Analyze), 5 (Evaluate), 6 (Create), then student achievement will increase. </w:t>
      </w:r>
    </w:p>
    <w:p w:rsidR="00656417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</w:p>
    <w:p w:rsidR="00656417" w:rsidRPr="00656417" w:rsidRDefault="00656417" w:rsidP="00656417">
      <w:pPr>
        <w:spacing w:after="0" w:line="240" w:lineRule="auto"/>
        <w:ind w:left="720"/>
        <w:outlineLvl w:val="0"/>
        <w:rPr>
          <w:rFonts w:ascii="Calibri" w:eastAsia="Helvetica" w:hAnsi="Calibri" w:cs="Calibri"/>
          <w:i/>
          <w:color w:val="000000"/>
          <w:sz w:val="24"/>
          <w:szCs w:val="24"/>
        </w:rPr>
      </w:pPr>
      <w:r>
        <w:rPr>
          <w:rFonts w:ascii="Calibri" w:eastAsia="Helvetica" w:hAnsi="Calibri" w:cs="Calibri"/>
          <w:i/>
          <w:color w:val="000000"/>
          <w:sz w:val="24"/>
          <w:szCs w:val="24"/>
        </w:rPr>
        <w:t>If we clearly articulate learning targets to our students and begin using student and teacher rubrics, student achievement will improve.</w:t>
      </w:r>
    </w:p>
    <w:tbl>
      <w:tblPr>
        <w:tblStyle w:val="TableGrid1"/>
        <w:tblW w:w="0" w:type="auto"/>
        <w:tblInd w:w="198" w:type="dxa"/>
        <w:tblLook w:val="04A0"/>
      </w:tblPr>
      <w:tblGrid>
        <w:gridCol w:w="3155"/>
        <w:gridCol w:w="3799"/>
        <w:gridCol w:w="4063"/>
        <w:gridCol w:w="1961"/>
      </w:tblGrid>
      <w:tr w:rsidR="00656417" w:rsidRPr="00FC42CA" w:rsidTr="00E02FC9">
        <w:trPr>
          <w:trHeight w:val="1529"/>
        </w:trPr>
        <w:tc>
          <w:tcPr>
            <w:tcW w:w="13800" w:type="dxa"/>
            <w:gridSpan w:val="4"/>
          </w:tcPr>
          <w:p w:rsidR="00656417" w:rsidRPr="00FC42CA" w:rsidRDefault="00656417" w:rsidP="00E02FC9">
            <w:pPr>
              <w:contextualSpacing/>
              <w:rPr>
                <w:b/>
                <w:sz w:val="28"/>
                <w:szCs w:val="28"/>
              </w:rPr>
            </w:pPr>
            <w:r w:rsidRPr="00FC42CA">
              <w:rPr>
                <w:sz w:val="40"/>
                <w:szCs w:val="40"/>
              </w:rPr>
              <w:lastRenderedPageBreak/>
              <w:br w:type="page"/>
            </w:r>
            <w:r>
              <w:rPr>
                <w:b/>
                <w:sz w:val="28"/>
                <w:szCs w:val="28"/>
              </w:rPr>
              <w:t>PRINCIPAL</w:t>
            </w:r>
            <w:r w:rsidRPr="00FC42CA">
              <w:rPr>
                <w:b/>
                <w:sz w:val="28"/>
                <w:szCs w:val="28"/>
              </w:rPr>
              <w:t xml:space="preserve"> STRATEGIES</w:t>
            </w:r>
          </w:p>
          <w:p w:rsidR="00656417" w:rsidRDefault="00656417" w:rsidP="00E02FC9">
            <w:pPr>
              <w:contextualSpacing/>
              <w:rPr>
                <w:b/>
                <w:sz w:val="18"/>
                <w:szCs w:val="18"/>
              </w:rPr>
            </w:pPr>
            <w:r w:rsidRPr="00FC42CA">
              <w:rPr>
                <w:b/>
                <w:sz w:val="24"/>
                <w:szCs w:val="24"/>
              </w:rPr>
              <w:t xml:space="preserve">FOCUSED STRATEGY </w:t>
            </w:r>
            <w:r w:rsidRPr="00FC42CA">
              <w:rPr>
                <w:b/>
                <w:sz w:val="18"/>
                <w:szCs w:val="18"/>
              </w:rPr>
              <w:t>(addresses the problem of practice and are limited in number and high leverage):</w:t>
            </w:r>
          </w:p>
          <w:p w:rsidR="00656417" w:rsidRDefault="00656417" w:rsidP="00E02FC9">
            <w:pPr>
              <w:contextualSpacing/>
              <w:rPr>
                <w:b/>
                <w:sz w:val="18"/>
                <w:szCs w:val="18"/>
              </w:rPr>
            </w:pPr>
          </w:p>
          <w:p w:rsidR="00656417" w:rsidRPr="00747920" w:rsidRDefault="00656417" w:rsidP="00E02FC9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rFonts w:ascii="Calibri" w:eastAsia="Helvetica" w:hAnsi="Calibri" w:cs="Calibri"/>
                <w:i/>
                <w:color w:val="000000"/>
                <w:sz w:val="24"/>
                <w:szCs w:val="24"/>
              </w:rPr>
              <w:t xml:space="preserve">If we plan, implement, and adjust for rigorous curriculum tasks that are open-ended and differentiated, </w:t>
            </w:r>
            <w:r w:rsidRPr="00747920">
              <w:rPr>
                <w:i/>
                <w:sz w:val="24"/>
                <w:szCs w:val="24"/>
              </w:rPr>
              <w:t>the</w:t>
            </w:r>
            <w:r>
              <w:rPr>
                <w:i/>
                <w:sz w:val="24"/>
                <w:szCs w:val="24"/>
              </w:rPr>
              <w:t>n</w:t>
            </w:r>
            <w:r w:rsidRPr="0074792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the percentage of students meeting or exceeding the </w:t>
            </w:r>
            <w:r w:rsidRPr="00747920">
              <w:rPr>
                <w:i/>
                <w:sz w:val="24"/>
                <w:szCs w:val="24"/>
              </w:rPr>
              <w:t>school achievement targets for June 2014</w:t>
            </w:r>
            <w:r>
              <w:rPr>
                <w:i/>
                <w:sz w:val="24"/>
                <w:szCs w:val="24"/>
              </w:rPr>
              <w:t xml:space="preserve"> will increase</w:t>
            </w:r>
            <w:r w:rsidRPr="00747920">
              <w:rPr>
                <w:i/>
                <w:sz w:val="24"/>
                <w:szCs w:val="24"/>
              </w:rPr>
              <w:t>, as listed on the School Improvement Plan.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6417" w:rsidRPr="00FC42CA" w:rsidRDefault="00656417" w:rsidP="00E02F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6417" w:rsidRPr="00FC42CA" w:rsidTr="00E02FC9">
        <w:trPr>
          <w:trHeight w:val="990"/>
        </w:trPr>
        <w:tc>
          <w:tcPr>
            <w:tcW w:w="3361" w:type="dxa"/>
          </w:tcPr>
          <w:p w:rsidR="00656417" w:rsidRPr="00FC42CA" w:rsidRDefault="00656417" w:rsidP="00E02FC9">
            <w:pPr>
              <w:contextualSpacing/>
              <w:rPr>
                <w:sz w:val="24"/>
                <w:szCs w:val="24"/>
              </w:rPr>
            </w:pPr>
            <w:r w:rsidRPr="00FC42CA">
              <w:rPr>
                <w:sz w:val="24"/>
                <w:szCs w:val="24"/>
              </w:rPr>
              <w:t>ADULT ACTIONS</w:t>
            </w:r>
          </w:p>
          <w:p w:rsidR="00656417" w:rsidRPr="00FC42CA" w:rsidRDefault="00656417" w:rsidP="00E02FC9">
            <w:pPr>
              <w:contextualSpacing/>
              <w:rPr>
                <w:sz w:val="18"/>
                <w:szCs w:val="18"/>
              </w:rPr>
            </w:pPr>
            <w:r w:rsidRPr="00FC42CA">
              <w:rPr>
                <w:sz w:val="18"/>
                <w:szCs w:val="18"/>
              </w:rPr>
              <w:t>(Include persons responsible and the timeline.</w:t>
            </w:r>
          </w:p>
        </w:tc>
        <w:tc>
          <w:tcPr>
            <w:tcW w:w="4063" w:type="dxa"/>
          </w:tcPr>
          <w:p w:rsidR="00656417" w:rsidRPr="00FC42CA" w:rsidRDefault="00656417" w:rsidP="00E02FC9">
            <w:pPr>
              <w:contextualSpacing/>
              <w:rPr>
                <w:sz w:val="24"/>
                <w:szCs w:val="24"/>
              </w:rPr>
            </w:pPr>
            <w:r w:rsidRPr="00FC42CA">
              <w:rPr>
                <w:sz w:val="24"/>
                <w:szCs w:val="24"/>
              </w:rPr>
              <w:t>ACCOUNTABLILITY MEASURES TO ENSURE IMPLEMENTATION</w:t>
            </w:r>
          </w:p>
          <w:p w:rsidR="00656417" w:rsidRPr="00FC42CA" w:rsidRDefault="00656417" w:rsidP="00E02FC9">
            <w:pPr>
              <w:contextualSpacing/>
              <w:rPr>
                <w:sz w:val="18"/>
                <w:szCs w:val="18"/>
              </w:rPr>
            </w:pPr>
            <w:r w:rsidRPr="00FC42CA">
              <w:rPr>
                <w:sz w:val="18"/>
                <w:szCs w:val="18"/>
              </w:rPr>
              <w:t>(Include specific actions taken to monitor the adult actions for implementation)</w:t>
            </w:r>
          </w:p>
        </w:tc>
        <w:tc>
          <w:tcPr>
            <w:tcW w:w="4367" w:type="dxa"/>
          </w:tcPr>
          <w:p w:rsidR="00656417" w:rsidRPr="00FC42CA" w:rsidRDefault="00656417" w:rsidP="00E02FC9">
            <w:pPr>
              <w:contextualSpacing/>
              <w:rPr>
                <w:sz w:val="24"/>
                <w:szCs w:val="24"/>
              </w:rPr>
            </w:pPr>
            <w:r w:rsidRPr="00FC42CA">
              <w:rPr>
                <w:sz w:val="24"/>
                <w:szCs w:val="24"/>
              </w:rPr>
              <w:t>EVIDENCE OF SUCCESSFUL IMPLEMENTATION</w:t>
            </w:r>
          </w:p>
          <w:p w:rsidR="00656417" w:rsidRPr="00FC42CA" w:rsidRDefault="00656417" w:rsidP="00E02FC9">
            <w:pPr>
              <w:contextualSpacing/>
              <w:rPr>
                <w:sz w:val="18"/>
                <w:szCs w:val="18"/>
              </w:rPr>
            </w:pPr>
            <w:r w:rsidRPr="00FC42CA">
              <w:rPr>
                <w:sz w:val="18"/>
                <w:szCs w:val="18"/>
              </w:rPr>
              <w:t>(identify student achievement measures and timeline)</w:t>
            </w:r>
          </w:p>
        </w:tc>
        <w:tc>
          <w:tcPr>
            <w:tcW w:w="2009" w:type="dxa"/>
          </w:tcPr>
          <w:p w:rsidR="00656417" w:rsidRPr="00FC42CA" w:rsidRDefault="00656417" w:rsidP="00E02FC9">
            <w:pPr>
              <w:contextualSpacing/>
              <w:rPr>
                <w:sz w:val="24"/>
                <w:szCs w:val="24"/>
              </w:rPr>
            </w:pPr>
            <w:r w:rsidRPr="00FC42CA">
              <w:rPr>
                <w:sz w:val="24"/>
                <w:szCs w:val="24"/>
              </w:rPr>
              <w:t>SPECIFIC SUPPORT NEEDED</w:t>
            </w:r>
          </w:p>
        </w:tc>
      </w:tr>
      <w:tr w:rsidR="00656417" w:rsidRPr="00FC42CA" w:rsidTr="00E02FC9">
        <w:trPr>
          <w:trHeight w:val="1755"/>
        </w:trPr>
        <w:tc>
          <w:tcPr>
            <w:tcW w:w="3361" w:type="dxa"/>
          </w:tcPr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ongoing professional development regarding the </w:t>
            </w:r>
            <w:proofErr w:type="spellStart"/>
            <w:r>
              <w:rPr>
                <w:sz w:val="24"/>
                <w:szCs w:val="24"/>
              </w:rPr>
              <w:t>Marzano</w:t>
            </w:r>
            <w:proofErr w:type="spellEnd"/>
            <w:r>
              <w:rPr>
                <w:sz w:val="24"/>
                <w:szCs w:val="24"/>
              </w:rPr>
              <w:t xml:space="preserve"> teaching and learning framework</w:t>
            </w:r>
          </w:p>
        </w:tc>
        <w:tc>
          <w:tcPr>
            <w:tcW w:w="4063" w:type="dxa"/>
          </w:tcPr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effectiveness of teaching practices by observing and providing feedback to staff using </w:t>
            </w:r>
            <w:proofErr w:type="spellStart"/>
            <w:r>
              <w:rPr>
                <w:sz w:val="24"/>
                <w:szCs w:val="24"/>
              </w:rPr>
              <w:t>Marzano</w:t>
            </w:r>
            <w:proofErr w:type="spellEnd"/>
            <w:r>
              <w:rPr>
                <w:sz w:val="24"/>
                <w:szCs w:val="24"/>
              </w:rPr>
              <w:t xml:space="preserve"> protocols</w:t>
            </w:r>
          </w:p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</w:p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</w:p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</w:p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</w:t>
            </w:r>
            <w:proofErr w:type="spellStart"/>
            <w:r>
              <w:rPr>
                <w:sz w:val="24"/>
                <w:szCs w:val="24"/>
              </w:rPr>
              <w:t>Protraxx</w:t>
            </w:r>
            <w:proofErr w:type="spellEnd"/>
            <w:r>
              <w:rPr>
                <w:sz w:val="24"/>
                <w:szCs w:val="24"/>
              </w:rPr>
              <w:t xml:space="preserve"> to organize and manage feedback for TEP</w:t>
            </w:r>
          </w:p>
        </w:tc>
        <w:tc>
          <w:tcPr>
            <w:tcW w:w="4367" w:type="dxa"/>
          </w:tcPr>
          <w:p w:rsidR="00656417" w:rsidRDefault="00656417" w:rsidP="00E0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staff at proficient and exemplary as defined by the TEP</w:t>
            </w:r>
          </w:p>
          <w:p w:rsidR="00656417" w:rsidRDefault="00656417" w:rsidP="00E02FC9">
            <w:pPr>
              <w:rPr>
                <w:sz w:val="24"/>
                <w:szCs w:val="24"/>
              </w:rPr>
            </w:pPr>
          </w:p>
          <w:p w:rsidR="00656417" w:rsidRDefault="00656417" w:rsidP="00E02FC9">
            <w:pPr>
              <w:rPr>
                <w:sz w:val="24"/>
                <w:szCs w:val="24"/>
              </w:rPr>
            </w:pPr>
          </w:p>
          <w:p w:rsidR="00656417" w:rsidRDefault="00656417" w:rsidP="00E02FC9">
            <w:pPr>
              <w:rPr>
                <w:sz w:val="24"/>
                <w:szCs w:val="24"/>
              </w:rPr>
            </w:pPr>
          </w:p>
          <w:p w:rsidR="00656417" w:rsidRDefault="00656417" w:rsidP="00E02FC9">
            <w:pPr>
              <w:rPr>
                <w:sz w:val="24"/>
                <w:szCs w:val="24"/>
              </w:rPr>
            </w:pPr>
          </w:p>
          <w:p w:rsidR="00656417" w:rsidRDefault="00656417" w:rsidP="00E02FC9">
            <w:pPr>
              <w:rPr>
                <w:sz w:val="24"/>
                <w:szCs w:val="24"/>
              </w:rPr>
            </w:pPr>
          </w:p>
          <w:p w:rsidR="00656417" w:rsidRDefault="00656417" w:rsidP="00E02FC9">
            <w:pPr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collected in </w:t>
            </w:r>
            <w:proofErr w:type="spellStart"/>
            <w:r>
              <w:rPr>
                <w:sz w:val="24"/>
                <w:szCs w:val="24"/>
              </w:rPr>
              <w:t>Protraxx</w:t>
            </w:r>
            <w:proofErr w:type="spellEnd"/>
          </w:p>
        </w:tc>
        <w:tc>
          <w:tcPr>
            <w:tcW w:w="2009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Marzano</w:t>
            </w:r>
            <w:proofErr w:type="spellEnd"/>
            <w:r>
              <w:rPr>
                <w:sz w:val="24"/>
                <w:szCs w:val="24"/>
              </w:rPr>
              <w:t xml:space="preserve"> text for all staff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Professional Development for administrators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with use of </w:t>
            </w:r>
            <w:proofErr w:type="spellStart"/>
            <w:r>
              <w:rPr>
                <w:sz w:val="24"/>
                <w:szCs w:val="24"/>
              </w:rPr>
              <w:t>Protraxx</w:t>
            </w:r>
            <w:proofErr w:type="spellEnd"/>
          </w:p>
        </w:tc>
      </w:tr>
      <w:tr w:rsidR="00656417" w:rsidRPr="00FC42CA" w:rsidTr="00E02FC9">
        <w:trPr>
          <w:trHeight w:val="1461"/>
        </w:trPr>
        <w:tc>
          <w:tcPr>
            <w:tcW w:w="3361" w:type="dxa"/>
          </w:tcPr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ongoing professional development on data teams with a focus on improving building team and beginning work with grade level teams </w:t>
            </w:r>
          </w:p>
        </w:tc>
        <w:tc>
          <w:tcPr>
            <w:tcW w:w="4063" w:type="dxa"/>
          </w:tcPr>
          <w:p w:rsidR="00656417" w:rsidRPr="00E8214D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teams will meet regularly to review formative and summative data</w:t>
            </w:r>
          </w:p>
        </w:tc>
        <w:tc>
          <w:tcPr>
            <w:tcW w:w="4367" w:type="dxa"/>
          </w:tcPr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on rubric for data teams</w:t>
            </w:r>
          </w:p>
        </w:tc>
        <w:tc>
          <w:tcPr>
            <w:tcW w:w="2009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organize and plan</w:t>
            </w:r>
          </w:p>
        </w:tc>
      </w:tr>
      <w:tr w:rsidR="00656417" w:rsidRPr="00FC42CA" w:rsidTr="00E02FC9">
        <w:trPr>
          <w:trHeight w:val="2344"/>
        </w:trPr>
        <w:tc>
          <w:tcPr>
            <w:tcW w:w="3361" w:type="dxa"/>
          </w:tcPr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Train selected staff to facilitate and organize instructional rounds</w:t>
            </w:r>
          </w:p>
        </w:tc>
        <w:tc>
          <w:tcPr>
            <w:tcW w:w="4063" w:type="dxa"/>
          </w:tcPr>
          <w:p w:rsidR="00656417" w:rsidRPr="00E8214D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staff member will organize and facilitate internal and external instructional rounds</w:t>
            </w:r>
          </w:p>
        </w:tc>
        <w:tc>
          <w:tcPr>
            <w:tcW w:w="4367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staff member facilitating the rounds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collected from instructional rounds</w:t>
            </w:r>
          </w:p>
        </w:tc>
        <w:tc>
          <w:tcPr>
            <w:tcW w:w="2009" w:type="dxa"/>
          </w:tcPr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for staff</w:t>
            </w:r>
          </w:p>
        </w:tc>
      </w:tr>
      <w:tr w:rsidR="00656417" w:rsidRPr="00FC42CA" w:rsidTr="00E02FC9">
        <w:trPr>
          <w:trHeight w:val="2344"/>
        </w:trPr>
        <w:tc>
          <w:tcPr>
            <w:tcW w:w="3361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and organize Parent Universities on current educational topics (Infinite Campus, SBAC, Curriculum etc.)</w:t>
            </w:r>
          </w:p>
        </w:tc>
        <w:tc>
          <w:tcPr>
            <w:tcW w:w="4063" w:type="dxa"/>
          </w:tcPr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Universities will be planned throughout the year based upon stakeholder feedback</w:t>
            </w:r>
          </w:p>
        </w:tc>
        <w:tc>
          <w:tcPr>
            <w:tcW w:w="4367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 and feedback from parent sessions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regarding the use of Infinite Campus as a means to communicate</w:t>
            </w:r>
          </w:p>
        </w:tc>
        <w:tc>
          <w:tcPr>
            <w:tcW w:w="2009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collaboration regarding PD plans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training and consultation (i.e. IT for infinite Campus)</w:t>
            </w:r>
          </w:p>
        </w:tc>
      </w:tr>
      <w:tr w:rsidR="00656417" w:rsidRPr="00FC42CA" w:rsidTr="00E02FC9">
        <w:trPr>
          <w:trHeight w:val="2344"/>
        </w:trPr>
        <w:tc>
          <w:tcPr>
            <w:tcW w:w="3361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implementation of School Climate initiatives</w:t>
            </w:r>
          </w:p>
        </w:tc>
        <w:tc>
          <w:tcPr>
            <w:tcW w:w="4063" w:type="dxa"/>
          </w:tcPr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 Leadership committee to organize ongoing activities regarding school climate. (CARES, Character assemblies, Bucket filling, Project Wisdom, Community </w:t>
            </w:r>
            <w:proofErr w:type="gramStart"/>
            <w:r>
              <w:rPr>
                <w:sz w:val="24"/>
                <w:szCs w:val="24"/>
              </w:rPr>
              <w:t>Club  etc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367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Climate Survey data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data from office referrals and Community Club</w:t>
            </w:r>
          </w:p>
        </w:tc>
        <w:tc>
          <w:tcPr>
            <w:tcW w:w="2009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Wisdom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Step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Responsive Classroom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for Club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</w:t>
            </w:r>
          </w:p>
        </w:tc>
      </w:tr>
    </w:tbl>
    <w:p w:rsidR="00656417" w:rsidRDefault="00656417" w:rsidP="00656417">
      <w:pPr>
        <w:spacing w:line="240" w:lineRule="auto"/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  <w:r>
        <w:rPr>
          <w:rFonts w:ascii="Calibri" w:eastAsia="ヒラギノ角ゴ Pro W3" w:hAnsi="Calibri" w:cs="Calibri"/>
          <w:color w:val="000000"/>
          <w:sz w:val="28"/>
          <w:szCs w:val="24"/>
        </w:rPr>
        <w:br w:type="page"/>
      </w:r>
    </w:p>
    <w:tbl>
      <w:tblPr>
        <w:tblStyle w:val="TableGrid11"/>
        <w:tblW w:w="0" w:type="auto"/>
        <w:tblInd w:w="198" w:type="dxa"/>
        <w:tblLook w:val="04A0"/>
      </w:tblPr>
      <w:tblGrid>
        <w:gridCol w:w="3136"/>
        <w:gridCol w:w="3805"/>
        <w:gridCol w:w="4062"/>
        <w:gridCol w:w="1975"/>
      </w:tblGrid>
      <w:tr w:rsidR="00656417" w:rsidRPr="00C71E9A" w:rsidTr="00E02FC9">
        <w:tc>
          <w:tcPr>
            <w:tcW w:w="14220" w:type="dxa"/>
            <w:gridSpan w:val="4"/>
          </w:tcPr>
          <w:p w:rsidR="00656417" w:rsidRPr="00C71E9A" w:rsidRDefault="00656417" w:rsidP="00E02FC9">
            <w:pPr>
              <w:spacing w:after="200"/>
              <w:contextualSpacing/>
              <w:rPr>
                <w:b/>
                <w:sz w:val="28"/>
                <w:szCs w:val="28"/>
              </w:rPr>
            </w:pPr>
            <w:r w:rsidRPr="00C71E9A">
              <w:rPr>
                <w:sz w:val="40"/>
                <w:szCs w:val="40"/>
              </w:rPr>
              <w:lastRenderedPageBreak/>
              <w:br w:type="page"/>
            </w:r>
            <w:r>
              <w:rPr>
                <w:b/>
                <w:sz w:val="28"/>
                <w:szCs w:val="28"/>
              </w:rPr>
              <w:t>SCHOOL-WIDE</w:t>
            </w:r>
            <w:r w:rsidRPr="00C71E9A">
              <w:rPr>
                <w:b/>
                <w:sz w:val="28"/>
                <w:szCs w:val="28"/>
              </w:rPr>
              <w:t xml:space="preserve"> STRATEGIES</w:t>
            </w:r>
          </w:p>
          <w:p w:rsidR="00656417" w:rsidRDefault="00656417" w:rsidP="00E02FC9">
            <w:pPr>
              <w:spacing w:after="200"/>
              <w:contextualSpacing/>
              <w:rPr>
                <w:b/>
                <w:sz w:val="18"/>
                <w:szCs w:val="18"/>
              </w:rPr>
            </w:pPr>
            <w:r w:rsidRPr="00C71E9A">
              <w:rPr>
                <w:b/>
                <w:sz w:val="24"/>
                <w:szCs w:val="24"/>
              </w:rPr>
              <w:t xml:space="preserve">FOCUSED STRATEGY </w:t>
            </w:r>
            <w:r w:rsidRPr="00C71E9A">
              <w:rPr>
                <w:b/>
                <w:sz w:val="18"/>
                <w:szCs w:val="18"/>
              </w:rPr>
              <w:t>(addresses the problem of practice and are limited in number and high leverage):</w:t>
            </w:r>
          </w:p>
          <w:p w:rsidR="00656417" w:rsidRPr="00C71E9A" w:rsidRDefault="00656417" w:rsidP="00E02FC9">
            <w:pPr>
              <w:spacing w:after="200"/>
              <w:contextualSpacing/>
              <w:rPr>
                <w:b/>
                <w:sz w:val="18"/>
                <w:szCs w:val="18"/>
              </w:rPr>
            </w:pPr>
          </w:p>
          <w:p w:rsidR="00656417" w:rsidRPr="00747920" w:rsidRDefault="00656417" w:rsidP="00E02FC9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rFonts w:ascii="Calibri" w:eastAsia="Helvetica" w:hAnsi="Calibri" w:cs="Calibri"/>
                <w:i/>
                <w:color w:val="000000"/>
                <w:sz w:val="24"/>
                <w:szCs w:val="24"/>
              </w:rPr>
              <w:t xml:space="preserve">If we plan, implement, and adjust for rigorous curriculum tasks that are open-ended and differentiated, </w:t>
            </w:r>
            <w:r w:rsidRPr="00747920">
              <w:rPr>
                <w:i/>
                <w:sz w:val="24"/>
                <w:szCs w:val="24"/>
              </w:rPr>
              <w:t>the</w:t>
            </w:r>
            <w:r>
              <w:rPr>
                <w:i/>
                <w:sz w:val="24"/>
                <w:szCs w:val="24"/>
              </w:rPr>
              <w:t>n</w:t>
            </w:r>
            <w:r w:rsidRPr="0074792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the percentage of students meeting or exceeding the </w:t>
            </w:r>
            <w:r w:rsidRPr="00747920">
              <w:rPr>
                <w:i/>
                <w:sz w:val="24"/>
                <w:szCs w:val="24"/>
              </w:rPr>
              <w:t>school achievement targets for June 2014</w:t>
            </w:r>
            <w:r>
              <w:rPr>
                <w:i/>
                <w:sz w:val="24"/>
                <w:szCs w:val="24"/>
              </w:rPr>
              <w:t xml:space="preserve"> will increase</w:t>
            </w:r>
            <w:r w:rsidRPr="00747920">
              <w:rPr>
                <w:i/>
                <w:sz w:val="24"/>
                <w:szCs w:val="24"/>
              </w:rPr>
              <w:t>, as listed on the School Improvement Plan.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6417" w:rsidRPr="00C71E9A" w:rsidRDefault="00656417" w:rsidP="00E02F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6417" w:rsidRPr="00E8214D" w:rsidTr="00E02FC9">
        <w:tc>
          <w:tcPr>
            <w:tcW w:w="3463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 w:rsidRPr="00E8214D">
              <w:rPr>
                <w:sz w:val="24"/>
                <w:szCs w:val="24"/>
              </w:rPr>
              <w:t>ADULT ACTIONS</w:t>
            </w:r>
          </w:p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 w:rsidRPr="00E8214D">
              <w:rPr>
                <w:sz w:val="24"/>
                <w:szCs w:val="24"/>
              </w:rPr>
              <w:t>(Include persons responsible and the timeline.</w:t>
            </w:r>
          </w:p>
        </w:tc>
        <w:tc>
          <w:tcPr>
            <w:tcW w:w="4187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 w:rsidRPr="00E8214D">
              <w:rPr>
                <w:sz w:val="24"/>
                <w:szCs w:val="24"/>
              </w:rPr>
              <w:t>ACCOUNTABLILITY MEASURES TO ENSURE IMPLEMENTATION</w:t>
            </w:r>
          </w:p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 w:rsidRPr="00E8214D">
              <w:rPr>
                <w:sz w:val="24"/>
                <w:szCs w:val="24"/>
              </w:rPr>
              <w:t>(Include specific actions taken to monitor the adult actions for implementation)</w:t>
            </w:r>
          </w:p>
        </w:tc>
        <w:tc>
          <w:tcPr>
            <w:tcW w:w="4500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 w:rsidRPr="00E8214D">
              <w:rPr>
                <w:sz w:val="24"/>
                <w:szCs w:val="24"/>
              </w:rPr>
              <w:t>EVIDENCE OF SUCCESSFUL IMPLEMENTATION</w:t>
            </w:r>
          </w:p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 w:rsidRPr="00E8214D">
              <w:rPr>
                <w:sz w:val="24"/>
                <w:szCs w:val="24"/>
              </w:rPr>
              <w:t>(identify student achievement measures and timeline)</w:t>
            </w:r>
          </w:p>
        </w:tc>
        <w:tc>
          <w:tcPr>
            <w:tcW w:w="2070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 w:rsidRPr="00E8214D">
              <w:rPr>
                <w:sz w:val="24"/>
                <w:szCs w:val="24"/>
              </w:rPr>
              <w:t>SPECIFIC SUPPORT NEEDED</w:t>
            </w:r>
          </w:p>
        </w:tc>
      </w:tr>
      <w:tr w:rsidR="00656417" w:rsidRPr="00E8214D" w:rsidTr="00E02FC9">
        <w:trPr>
          <w:trHeight w:val="1808"/>
        </w:trPr>
        <w:tc>
          <w:tcPr>
            <w:tcW w:w="3463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 will continue to refine thinking regarding differentiation and rigor</w:t>
            </w:r>
          </w:p>
        </w:tc>
        <w:tc>
          <w:tcPr>
            <w:tcW w:w="4187" w:type="dxa"/>
          </w:tcPr>
          <w:p w:rsidR="00656417" w:rsidRDefault="00656417" w:rsidP="00E02FC9">
            <w:pPr>
              <w:spacing w:after="200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 will conduct Instructional Rounds.  An Internal and External Rounds will be planned each year</w:t>
            </w:r>
          </w:p>
          <w:p w:rsidR="00656417" w:rsidRPr="00E8214D" w:rsidRDefault="00656417" w:rsidP="00E02FC9">
            <w:pPr>
              <w:spacing w:after="200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collected from Internal and External Rounds</w:t>
            </w:r>
          </w:p>
        </w:tc>
        <w:tc>
          <w:tcPr>
            <w:tcW w:w="4500" w:type="dxa"/>
          </w:tcPr>
          <w:p w:rsidR="00656417" w:rsidRPr="00E8214D" w:rsidRDefault="00656417" w:rsidP="00E02FC9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56417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plan and organize and debrief rounds data </w:t>
            </w:r>
          </w:p>
          <w:p w:rsidR="00656417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supporting learning about rigor</w:t>
            </w:r>
          </w:p>
        </w:tc>
      </w:tr>
      <w:tr w:rsidR="00656417" w:rsidRPr="00E8214D" w:rsidTr="00E02FC9">
        <w:trPr>
          <w:trHeight w:val="1505"/>
        </w:trPr>
        <w:tc>
          <w:tcPr>
            <w:tcW w:w="3463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 will implement and supplement the curriculum with an increased number of open ended and differentiated tasks that raise the rigor in their classrooms</w:t>
            </w:r>
          </w:p>
        </w:tc>
        <w:tc>
          <w:tcPr>
            <w:tcW w:w="4187" w:type="dxa"/>
          </w:tcPr>
          <w:p w:rsidR="00656417" w:rsidRPr="00E8214D" w:rsidRDefault="00656417" w:rsidP="00E02FC9">
            <w:pPr>
              <w:spacing w:after="200"/>
              <w:ind w:left="29"/>
              <w:rPr>
                <w:rFonts w:ascii="Calibri" w:eastAsia="Helvetica" w:hAnsi="Calibri" w:cs="Calibri"/>
                <w:sz w:val="24"/>
                <w:szCs w:val="24"/>
              </w:rPr>
            </w:pPr>
            <w:r>
              <w:rPr>
                <w:rFonts w:ascii="Calibri" w:eastAsia="Helvetica" w:hAnsi="Calibri" w:cs="Calibri"/>
                <w:sz w:val="24"/>
                <w:szCs w:val="24"/>
              </w:rPr>
              <w:t>The staff will review curriculum tasks at PLC and curriculum meetings.</w:t>
            </w:r>
          </w:p>
        </w:tc>
        <w:tc>
          <w:tcPr>
            <w:tcW w:w="4500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56417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(Blooms, Webb’s DOK)</w:t>
            </w:r>
          </w:p>
          <w:p w:rsidR="00656417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Rubric to assess tasks </w:t>
            </w:r>
          </w:p>
        </w:tc>
      </w:tr>
      <w:tr w:rsidR="00656417" w:rsidRPr="00E8214D" w:rsidTr="00E02FC9">
        <w:trPr>
          <w:trHeight w:val="2414"/>
        </w:trPr>
        <w:tc>
          <w:tcPr>
            <w:tcW w:w="3463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staff will learn and refine thinking about </w:t>
            </w:r>
            <w:proofErr w:type="spellStart"/>
            <w:r>
              <w:rPr>
                <w:sz w:val="24"/>
                <w:szCs w:val="24"/>
              </w:rPr>
              <w:t>Marzano</w:t>
            </w:r>
            <w:proofErr w:type="spellEnd"/>
            <w:r>
              <w:rPr>
                <w:sz w:val="24"/>
                <w:szCs w:val="24"/>
              </w:rPr>
              <w:t xml:space="preserve"> protocols with a focus on Design Questions 2, 3 and 4 which directly addresses learning content</w:t>
            </w:r>
          </w:p>
        </w:tc>
        <w:tc>
          <w:tcPr>
            <w:tcW w:w="4187" w:type="dxa"/>
          </w:tcPr>
          <w:p w:rsidR="00656417" w:rsidRDefault="00656417" w:rsidP="00E02FC9">
            <w:pPr>
              <w:spacing w:after="200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 will be directly observed by principal with feedback given in these areas</w:t>
            </w:r>
          </w:p>
          <w:p w:rsidR="00656417" w:rsidRPr="00E8214D" w:rsidRDefault="00656417" w:rsidP="00E02FC9">
            <w:pPr>
              <w:spacing w:after="200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staff scoring proficient or exemplary in these areas will increase throughout SIP cycle as measured by TEP</w:t>
            </w:r>
          </w:p>
        </w:tc>
        <w:tc>
          <w:tcPr>
            <w:tcW w:w="4500" w:type="dxa"/>
          </w:tcPr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56417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Marzano</w:t>
            </w:r>
            <w:proofErr w:type="spellEnd"/>
            <w:r>
              <w:rPr>
                <w:sz w:val="24"/>
                <w:szCs w:val="24"/>
              </w:rPr>
              <w:t xml:space="preserve"> professional development </w:t>
            </w:r>
          </w:p>
          <w:p w:rsidR="00656417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656417" w:rsidRPr="00E8214D" w:rsidRDefault="00656417" w:rsidP="00E02FC9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656417" w:rsidRPr="00E8214D" w:rsidTr="00E02FC9">
        <w:trPr>
          <w:trHeight w:val="2414"/>
        </w:trPr>
        <w:tc>
          <w:tcPr>
            <w:tcW w:w="3463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committee of teachers will work with Dr. Richard Cash to learn higher order thinking and teaching strategies</w:t>
            </w:r>
          </w:p>
        </w:tc>
        <w:tc>
          <w:tcPr>
            <w:tcW w:w="4187" w:type="dxa"/>
          </w:tcPr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of teachers will implement strategies and share with the rest of the Jennings staff</w:t>
            </w:r>
          </w:p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sharing sessions 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strategies in classrooms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Default="00656417" w:rsidP="00E02FC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number of rigorous tasks that are open ended and differentiated</w:t>
            </w:r>
          </w:p>
        </w:tc>
        <w:tc>
          <w:tcPr>
            <w:tcW w:w="4500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PD with Richard Cash</w:t>
            </w: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</w:p>
          <w:p w:rsidR="00656417" w:rsidRDefault="00656417" w:rsidP="00E02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plan and deliver PD</w:t>
            </w:r>
          </w:p>
        </w:tc>
      </w:tr>
    </w:tbl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656417" w:rsidRDefault="00656417" w:rsidP="00656417">
      <w:pPr>
        <w:rPr>
          <w:rFonts w:ascii="Calibri" w:eastAsia="ヒラギノ角ゴ Pro W3" w:hAnsi="Calibri" w:cs="Calibri"/>
          <w:color w:val="000000"/>
          <w:sz w:val="28"/>
          <w:szCs w:val="24"/>
        </w:rPr>
      </w:pPr>
    </w:p>
    <w:p w:rsidR="00DF5FAD" w:rsidRDefault="00656417"/>
    <w:sectPr w:rsidR="00DF5FAD" w:rsidSect="0065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17" w:rsidRDefault="00656417" w:rsidP="00656417">
      <w:pPr>
        <w:spacing w:after="0" w:line="240" w:lineRule="auto"/>
      </w:pPr>
      <w:r>
        <w:separator/>
      </w:r>
    </w:p>
  </w:endnote>
  <w:endnote w:type="continuationSeparator" w:id="0">
    <w:p w:rsidR="00656417" w:rsidRDefault="00656417" w:rsidP="006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17" w:rsidRDefault="006564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17" w:rsidRDefault="006564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17" w:rsidRDefault="00656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17" w:rsidRDefault="00656417" w:rsidP="00656417">
      <w:pPr>
        <w:spacing w:after="0" w:line="240" w:lineRule="auto"/>
      </w:pPr>
      <w:r>
        <w:separator/>
      </w:r>
    </w:p>
  </w:footnote>
  <w:footnote w:type="continuationSeparator" w:id="0">
    <w:p w:rsidR="00656417" w:rsidRDefault="00656417" w:rsidP="0065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17" w:rsidRDefault="006564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64618"/>
      <w:docPartObj>
        <w:docPartGallery w:val="Watermarks"/>
        <w:docPartUnique/>
      </w:docPartObj>
    </w:sdtPr>
    <w:sdtContent>
      <w:p w:rsidR="00656417" w:rsidRDefault="006564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17" w:rsidRDefault="006564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A01"/>
    <w:multiLevelType w:val="hybridMultilevel"/>
    <w:tmpl w:val="49A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30DB"/>
    <w:multiLevelType w:val="hybridMultilevel"/>
    <w:tmpl w:val="7016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07F6"/>
    <w:multiLevelType w:val="hybridMultilevel"/>
    <w:tmpl w:val="41E2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748A5"/>
    <w:multiLevelType w:val="hybridMultilevel"/>
    <w:tmpl w:val="352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4897"/>
    <w:multiLevelType w:val="hybridMultilevel"/>
    <w:tmpl w:val="029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E77"/>
    <w:multiLevelType w:val="hybridMultilevel"/>
    <w:tmpl w:val="89E8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6417"/>
    <w:rsid w:val="0044357C"/>
    <w:rsid w:val="00656417"/>
    <w:rsid w:val="00B13BCC"/>
    <w:rsid w:val="00B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17"/>
    <w:pPr>
      <w:ind w:left="720"/>
      <w:contextualSpacing/>
    </w:pPr>
  </w:style>
  <w:style w:type="table" w:styleId="TableGrid">
    <w:name w:val="Table Grid"/>
    <w:basedOn w:val="TableNormal"/>
    <w:uiPriority w:val="59"/>
    <w:rsid w:val="006564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564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64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64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64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41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41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H:\CMT%202013\2013%20CMT%20Analysis\Jennings%20CMT%20Analysis%202013%20all%20strand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2014-02-24T08:34:00Z</dcterms:created>
  <dcterms:modified xsi:type="dcterms:W3CDTF">2014-02-24T08:40:00Z</dcterms:modified>
</cp:coreProperties>
</file>